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E0" w:rsidRDefault="00F943A2" w:rsidP="004A147C">
      <w:pPr>
        <w:jc w:val="center"/>
        <w:rPr>
          <w:noProof/>
          <w:sz w:val="72"/>
          <w:szCs w:val="72"/>
          <w:lang w:eastAsia="ru-RU"/>
        </w:rPr>
      </w:pPr>
      <w:r>
        <w:rPr>
          <w:noProof/>
          <w:sz w:val="72"/>
          <w:szCs w:val="72"/>
          <w:lang w:eastAsia="ru-RU" w:bidi="he-IL"/>
        </w:rPr>
        <w:drawing>
          <wp:inline distT="0" distB="0" distL="0" distR="0">
            <wp:extent cx="5231130" cy="2700655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638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E0" w:rsidRDefault="002F1AE0" w:rsidP="004A147C">
      <w:pPr>
        <w:jc w:val="center"/>
        <w:rPr>
          <w:noProof/>
          <w:sz w:val="72"/>
          <w:szCs w:val="72"/>
          <w:lang w:eastAsia="ru-RU"/>
        </w:rPr>
      </w:pPr>
    </w:p>
    <w:p w:rsidR="004A147C" w:rsidRPr="002F1AE0" w:rsidRDefault="00F943A2" w:rsidP="004A147C">
      <w:pPr>
        <w:jc w:val="center"/>
        <w:rPr>
          <w:rFonts w:ascii="Algerian" w:hAnsi="Algerian"/>
          <w:noProof/>
          <w:sz w:val="72"/>
          <w:szCs w:val="72"/>
          <w:lang w:eastAsia="ru-RU"/>
        </w:rPr>
      </w:pPr>
      <w:r w:rsidRPr="002F1AE0">
        <w:rPr>
          <w:rFonts w:ascii="Times New Roman" w:hAnsi="Times New Roman" w:cs="Times New Roman"/>
          <w:noProof/>
          <w:sz w:val="72"/>
          <w:szCs w:val="72"/>
          <w:lang w:val="pl" w:eastAsia="ru-RU"/>
        </w:rPr>
        <w:t>Paszport zbiornika serii SOLAR SS – 100, 200, 300, 500, 750, 1000, 1200, 1500, 2000, 3000 litrów</w:t>
      </w:r>
    </w:p>
    <w:p w:rsidR="00FD5549" w:rsidRPr="00F64C56" w:rsidRDefault="00F943A2" w:rsidP="004A147C">
      <w:pPr>
        <w:jc w:val="center"/>
        <w:rPr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sz w:val="72"/>
          <w:szCs w:val="72"/>
          <w:lang w:val="pl" w:eastAsia="ru-RU"/>
        </w:rPr>
        <w:t xml:space="preserve">do instalacji </w:t>
      </w:r>
      <w:r w:rsidR="00F64C56">
        <w:rPr>
          <w:noProof/>
          <w:sz w:val="72"/>
          <w:szCs w:val="72"/>
          <w:lang w:val="pl" w:eastAsia="ru-RU"/>
        </w:rPr>
        <w:t>CWU</w:t>
      </w:r>
    </w:p>
    <w:p w:rsidR="002F1AE0" w:rsidRDefault="002F1AE0" w:rsidP="004A147C">
      <w:pPr>
        <w:jc w:val="center"/>
        <w:rPr>
          <w:noProof/>
          <w:sz w:val="72"/>
          <w:szCs w:val="72"/>
          <w:lang w:eastAsia="ru-RU"/>
        </w:rPr>
      </w:pPr>
    </w:p>
    <w:p w:rsidR="002F1AE0" w:rsidRDefault="002F1AE0" w:rsidP="004A147C">
      <w:pPr>
        <w:jc w:val="center"/>
        <w:rPr>
          <w:noProof/>
          <w:sz w:val="72"/>
          <w:szCs w:val="72"/>
          <w:lang w:eastAsia="ru-RU"/>
        </w:rPr>
      </w:pPr>
    </w:p>
    <w:p w:rsidR="002B07A6" w:rsidRDefault="002B07A6" w:rsidP="00343419">
      <w:pPr>
        <w:rPr>
          <w:noProof/>
          <w:sz w:val="24"/>
          <w:szCs w:val="24"/>
          <w:lang w:eastAsia="ru-RU"/>
        </w:rPr>
      </w:pPr>
    </w:p>
    <w:p w:rsidR="002B07A6" w:rsidRDefault="002B07A6" w:rsidP="002F1AE0">
      <w:pPr>
        <w:jc w:val="center"/>
        <w:rPr>
          <w:noProof/>
          <w:sz w:val="24"/>
          <w:szCs w:val="24"/>
          <w:lang w:eastAsia="ru-RU"/>
        </w:rPr>
      </w:pPr>
    </w:p>
    <w:p w:rsidR="00F64C56" w:rsidRDefault="00F64C56" w:rsidP="002F1AE0">
      <w:pPr>
        <w:jc w:val="center"/>
        <w:rPr>
          <w:noProof/>
          <w:sz w:val="24"/>
          <w:szCs w:val="24"/>
          <w:lang w:eastAsia="ru-RU"/>
        </w:rPr>
      </w:pPr>
    </w:p>
    <w:p w:rsidR="00F64C56" w:rsidRDefault="00F64C56" w:rsidP="002F1AE0">
      <w:pPr>
        <w:jc w:val="center"/>
        <w:rPr>
          <w:noProof/>
          <w:sz w:val="24"/>
          <w:szCs w:val="24"/>
          <w:lang w:eastAsia="ru-RU"/>
        </w:rPr>
      </w:pPr>
    </w:p>
    <w:p w:rsidR="004818F2" w:rsidRDefault="004818F2" w:rsidP="002F1AE0">
      <w:pPr>
        <w:jc w:val="center"/>
        <w:rPr>
          <w:noProof/>
          <w:sz w:val="24"/>
          <w:szCs w:val="24"/>
          <w:lang w:eastAsia="ru-RU"/>
        </w:rPr>
      </w:pPr>
    </w:p>
    <w:p w:rsidR="00836E40" w:rsidRDefault="00F943A2" w:rsidP="00B43EF7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pl" w:eastAsia="ru-RU"/>
        </w:rPr>
        <w:t>Republika Białorusi, Iwieniec, 2021</w:t>
      </w:r>
      <w:r>
        <w:rPr>
          <w:noProof/>
          <w:sz w:val="24"/>
          <w:szCs w:val="24"/>
          <w:lang w:val="pl" w:eastAsia="ru-RU"/>
        </w:rPr>
        <w:br w:type="page"/>
      </w:r>
    </w:p>
    <w:p w:rsidR="004A147C" w:rsidRDefault="00F943A2" w:rsidP="002F1AE0">
      <w:pPr>
        <w:jc w:val="center"/>
      </w:pPr>
      <w:r>
        <w:rPr>
          <w:b/>
          <w:noProof/>
          <w:sz w:val="28"/>
          <w:szCs w:val="28"/>
          <w:lang w:val="pl" w:eastAsia="ru-RU"/>
        </w:rPr>
        <w:lastRenderedPageBreak/>
        <w:t>Opis zbiornika serii SOLAR SS</w:t>
      </w:r>
    </w:p>
    <w:p w:rsidR="007E58F1" w:rsidRDefault="00F943A2" w:rsidP="007E58F1">
      <w:r w:rsidRPr="001F4DD8">
        <w:rPr>
          <w:lang w:val="pl"/>
        </w:rPr>
        <w:t xml:space="preserve">Strefa zastosowania: - Gromadzenie i magazynowanie podgrzanej </w:t>
      </w:r>
      <w:r w:rsidRPr="001F4DD8">
        <w:rPr>
          <w:lang w:val="pl"/>
        </w:rPr>
        <w:t>wody sanitarnej.</w:t>
      </w:r>
    </w:p>
    <w:p w:rsidR="007E58F1" w:rsidRPr="00D559C2" w:rsidRDefault="00F943A2" w:rsidP="00D559C2">
      <w:pPr>
        <w:jc w:val="both"/>
      </w:pPr>
      <w:r>
        <w:rPr>
          <w:lang w:val="pl"/>
        </w:rPr>
        <w:t>Materiał produktu: - Stal nierdzewna marki AISI 304.</w:t>
      </w:r>
    </w:p>
    <w:p w:rsidR="007E58F1" w:rsidRPr="00CE7C3E" w:rsidRDefault="00F943A2" w:rsidP="00D559C2">
      <w:pPr>
        <w:jc w:val="both"/>
      </w:pPr>
      <w:r>
        <w:rPr>
          <w:lang w:val="pl"/>
        </w:rPr>
        <w:t xml:space="preserve">Opis: - Zbiornik przeznaczony jest do nagromadzenia ciepłej wody z różnych źródeł. Zbiornik S-TANK z serii SOLAR SS poprawia elastyczność systemu CWU, umożliwiając przechowywanie stałej </w:t>
      </w:r>
      <w:r>
        <w:rPr>
          <w:lang w:val="pl"/>
        </w:rPr>
        <w:t>ilości ciepłej wody. Możliwość podłączenia grzałki elektrycznej do otworu z gwintem wewnętrznym 1 1/2'' do 500 litrów włącznie, powyżej 500 litrów - 2'' w dolnej części zbiornika, co czyni zbiornik bardziej uniwersalnym. Dobrze łączy w sobie następujące źr</w:t>
      </w:r>
      <w:r>
        <w:rPr>
          <w:lang w:val="pl"/>
        </w:rPr>
        <w:t>ódła ciepła:</w:t>
      </w:r>
    </w:p>
    <w:p w:rsidR="007E58F1" w:rsidRPr="001F4DD8" w:rsidRDefault="00F943A2" w:rsidP="00D559C2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na paliwo stałe</w:t>
      </w:r>
    </w:p>
    <w:p w:rsidR="007E58F1" w:rsidRPr="001F4DD8" w:rsidRDefault="00F943A2" w:rsidP="00D559C2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na biomasę</w:t>
      </w:r>
    </w:p>
    <w:p w:rsidR="007E58F1" w:rsidRPr="001F4DD8" w:rsidRDefault="00F943A2" w:rsidP="00D559C2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na palety</w:t>
      </w:r>
    </w:p>
    <w:p w:rsidR="007E58F1" w:rsidRPr="00A711F5" w:rsidRDefault="00F943A2" w:rsidP="00D559C2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Kominek z płaszczem wodnym</w:t>
      </w:r>
    </w:p>
    <w:p w:rsidR="007E58F1" w:rsidRPr="001F4DD8" w:rsidRDefault="00F943A2" w:rsidP="00D559C2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gazowy</w:t>
      </w:r>
    </w:p>
    <w:p w:rsidR="007E58F1" w:rsidRPr="00B8039E" w:rsidRDefault="00F943A2" w:rsidP="00D559C2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elektryczny</w:t>
      </w:r>
    </w:p>
    <w:p w:rsidR="00B8039E" w:rsidRPr="001F4DD8" w:rsidRDefault="00F943A2" w:rsidP="00D559C2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Kolektor słoneczny</w:t>
      </w:r>
    </w:p>
    <w:p w:rsidR="007E58F1" w:rsidRDefault="00F943A2" w:rsidP="00D559C2">
      <w:pPr>
        <w:jc w:val="both"/>
      </w:pPr>
      <w:r>
        <w:rPr>
          <w:lang w:val="pl"/>
        </w:rPr>
        <w:t xml:space="preserve">Izolacja zbiornika jest wykonana w technologii NOFIRE z materiału poliestrowego o grubości 70 mm, </w:t>
      </w:r>
      <w:r>
        <w:rPr>
          <w:lang w:val="pl"/>
        </w:rPr>
        <w:t>nadającego się w 100% do recyklingu (przyjazny dla środowiska), materiał posiada wysoki współczynnik odporności na przenikanie ciepła, a także wysoką klasę odporności ogniowej B-s2d0, zgodnie z wymaganiami europejskimi EN 13501.</w:t>
      </w:r>
    </w:p>
    <w:p w:rsidR="007E58F1" w:rsidRDefault="00F943A2" w:rsidP="00D559C2">
      <w:pPr>
        <w:jc w:val="both"/>
        <w:rPr>
          <w:lang w:val="en-US"/>
        </w:rPr>
      </w:pPr>
      <w:r>
        <w:rPr>
          <w:lang w:val="pl"/>
        </w:rPr>
        <w:t>Opcjonalnie dostępne:</w:t>
      </w:r>
    </w:p>
    <w:p w:rsidR="00165FFA" w:rsidRDefault="00F943A2" w:rsidP="007F13F5">
      <w:pPr>
        <w:pStyle w:val="a6"/>
        <w:numPr>
          <w:ilvl w:val="0"/>
          <w:numId w:val="1"/>
        </w:numPr>
        <w:ind w:left="0" w:firstLine="360"/>
        <w:jc w:val="both"/>
      </w:pPr>
      <w:r>
        <w:rPr>
          <w:lang w:val="pl"/>
        </w:rPr>
        <w:t>Zmian</w:t>
      </w:r>
      <w:r>
        <w:rPr>
          <w:lang w:val="pl"/>
        </w:rPr>
        <w:t>a konstrukcji zbiornika wg rysunku klienta (umiejscowienie przyłączy, kołnierzy, średnice przyłączy, rodzaj i grubość izolacji) są obliczane indywidualnie.</w:t>
      </w:r>
    </w:p>
    <w:p w:rsidR="002A3F5E" w:rsidRDefault="00F943A2">
      <w:r>
        <w:br w:type="page"/>
      </w:r>
    </w:p>
    <w:p w:rsidR="00311381" w:rsidRPr="00D559C2" w:rsidRDefault="00F943A2" w:rsidP="00311381">
      <w:pPr>
        <w:ind w:left="360"/>
        <w:jc w:val="center"/>
        <w:rPr>
          <w:b/>
          <w:noProof/>
          <w:sz w:val="28"/>
          <w:szCs w:val="28"/>
          <w:lang w:eastAsia="ru-RU"/>
        </w:rPr>
      </w:pPr>
      <w:r w:rsidRPr="00D559C2">
        <w:rPr>
          <w:b/>
          <w:noProof/>
          <w:sz w:val="28"/>
          <w:szCs w:val="28"/>
          <w:lang w:val="pl" w:eastAsia="ru-RU"/>
        </w:rPr>
        <w:lastRenderedPageBreak/>
        <w:t>Schemat zasadniczy pracy zbiornika serii SOLAR SS</w:t>
      </w:r>
    </w:p>
    <w:p w:rsidR="008A75E2" w:rsidRPr="003F31B9" w:rsidRDefault="005522A9" w:rsidP="00A508D0">
      <w:pPr>
        <w:rPr>
          <w:color w:val="FF0000"/>
        </w:rPr>
      </w:pPr>
      <w:r w:rsidRPr="005522A9">
        <w:rPr>
          <w:noProof/>
          <w:color w:val="FF0000"/>
          <w:lang w:eastAsia="ru-RU" w:bidi="he-IL"/>
        </w:rPr>
        <w:drawing>
          <wp:inline distT="0" distB="0" distL="0" distR="0">
            <wp:extent cx="6983730" cy="5604424"/>
            <wp:effectExtent l="0" t="0" r="7620" b="0"/>
            <wp:docPr id="1" name="Рисунок 1" descr="F:\РАБОТА БЕРУТА\Схемы подключения\пол\SS S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БЕРУТА\Схемы подключения\пол\SS Sol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560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C2" w:rsidRPr="00D559C2" w:rsidRDefault="00F943A2" w:rsidP="00D559C2">
      <w:pPr>
        <w:pStyle w:val="a6"/>
        <w:numPr>
          <w:ilvl w:val="0"/>
          <w:numId w:val="2"/>
        </w:numPr>
        <w:jc w:val="both"/>
      </w:pPr>
      <w:r w:rsidRPr="00D559C2">
        <w:rPr>
          <w:lang w:val="pl"/>
        </w:rPr>
        <w:t>Opis</w:t>
      </w:r>
    </w:p>
    <w:p w:rsidR="002F1AE0" w:rsidRPr="00D559C2" w:rsidRDefault="00F943A2" w:rsidP="00D559C2">
      <w:pPr>
        <w:ind w:left="360"/>
        <w:jc w:val="both"/>
      </w:pPr>
      <w:r w:rsidRPr="00D559C2">
        <w:rPr>
          <w:lang w:val="pl"/>
        </w:rPr>
        <w:t xml:space="preserve">1.1 Zbiornik serii SOLAR SS przeznaczony </w:t>
      </w:r>
      <w:r w:rsidRPr="00D559C2">
        <w:rPr>
          <w:lang w:val="pl"/>
        </w:rPr>
        <w:t>jest do stosowania w instalacjach CIEPŁEJ WODY UŻYTKOWEJ!</w:t>
      </w:r>
    </w:p>
    <w:p w:rsidR="002F1AE0" w:rsidRPr="002F1AE0" w:rsidRDefault="00F943A2" w:rsidP="002F1AE0">
      <w:pPr>
        <w:ind w:left="360"/>
        <w:jc w:val="both"/>
      </w:pPr>
      <w:r w:rsidRPr="00D559C2">
        <w:rPr>
          <w:lang w:val="pl"/>
        </w:rPr>
        <w:t>1.2 Zbiornik CWU przeznaczony jest do pracy z wodą w temperaturze od +2 do +95 stopni Celsjusza.</w:t>
      </w:r>
    </w:p>
    <w:p w:rsidR="002F1AE0" w:rsidRPr="002F1AE0" w:rsidRDefault="00F943A2" w:rsidP="002F1AE0">
      <w:pPr>
        <w:ind w:left="360"/>
        <w:jc w:val="both"/>
      </w:pPr>
      <w:r w:rsidRPr="002F1AE0">
        <w:rPr>
          <w:lang w:val="pl"/>
        </w:rPr>
        <w:t>1.3 Wszystkie modele tej serii mają następujące cechy konstrukcyjne:</w:t>
      </w:r>
    </w:p>
    <w:p w:rsidR="002F1AE0" w:rsidRPr="002F1AE0" w:rsidRDefault="00F943A2" w:rsidP="002F1AE0">
      <w:pPr>
        <w:ind w:left="360"/>
        <w:jc w:val="both"/>
      </w:pPr>
      <w:r w:rsidRPr="002F1AE0">
        <w:rPr>
          <w:lang w:val="pl"/>
        </w:rPr>
        <w:t>A) zbiorniki wykonane są z wytrz</w:t>
      </w:r>
      <w:r w:rsidRPr="002F1AE0">
        <w:rPr>
          <w:lang w:val="pl"/>
        </w:rPr>
        <w:t>ymałej wysokiej jakości stali nierdzewnej marki AISI 304 i są zaprojektowane na wieloletnią eksploatację.</w:t>
      </w:r>
    </w:p>
    <w:p w:rsidR="002F1AE0" w:rsidRPr="002F1AE0" w:rsidRDefault="00F943A2" w:rsidP="002F1AE0">
      <w:pPr>
        <w:ind w:left="360"/>
        <w:jc w:val="both"/>
      </w:pPr>
      <w:r>
        <w:rPr>
          <w:lang w:val="pl"/>
        </w:rPr>
        <w:t>B) Podpora dolna zbiornika wykonana jest na zasadzie podpory pierścieniowej, co pozwala na równomierne rozłożenie ciężaru zbiornika na powierzchni pod</w:t>
      </w:r>
      <w:r>
        <w:rPr>
          <w:lang w:val="pl"/>
        </w:rPr>
        <w:t>łogi i zapewnia stabilność.</w:t>
      </w:r>
    </w:p>
    <w:p w:rsidR="002F1AE0" w:rsidRDefault="00F943A2" w:rsidP="002F1AE0">
      <w:pPr>
        <w:ind w:left="360"/>
        <w:jc w:val="both"/>
      </w:pPr>
      <w:r>
        <w:rPr>
          <w:lang w:val="pl"/>
        </w:rPr>
        <w:t>C) Wszystkie zbiorniki wyposażone są w armaturę wlotową i wylotową, wykonaną z bezszwowej rury grubościennej.</w:t>
      </w:r>
    </w:p>
    <w:p w:rsidR="00987680" w:rsidRDefault="00F943A2" w:rsidP="004818F2">
      <w:pPr>
        <w:ind w:left="360"/>
        <w:jc w:val="both"/>
      </w:pPr>
      <w:r>
        <w:rPr>
          <w:lang w:val="pl"/>
        </w:rPr>
        <w:t>Od strony zewnętrznej zbiorniki w wersji standardowej o pojemności do 1000 litrów włącznie, zabezpieczone są plastikow</w:t>
      </w:r>
      <w:r>
        <w:rPr>
          <w:lang w:val="pl"/>
        </w:rPr>
        <w:t>ą obudową. Zbiorniki o pojemności ponad 1000 litrów są chronione powłoką z tworzywa sztucznego lub tkaniny. Kolorystykę izolacji możesz sprawdzić u sprzedającego.</w:t>
      </w:r>
    </w:p>
    <w:p w:rsidR="004E7D49" w:rsidRDefault="00F943A2" w:rsidP="004E7D49">
      <w:pPr>
        <w:ind w:left="360"/>
        <w:jc w:val="center"/>
        <w:rPr>
          <w:b/>
          <w:sz w:val="28"/>
        </w:rPr>
      </w:pPr>
      <w:r w:rsidRPr="003E443E">
        <w:rPr>
          <w:b/>
          <w:sz w:val="28"/>
          <w:lang w:val="pl"/>
        </w:rPr>
        <w:t>Specyfikacje techniczne</w:t>
      </w:r>
    </w:p>
    <w:p w:rsidR="00C24E9D" w:rsidRDefault="005522A9" w:rsidP="004E7D49">
      <w:pPr>
        <w:ind w:left="360"/>
        <w:jc w:val="center"/>
        <w:rPr>
          <w:b/>
          <w:sz w:val="28"/>
        </w:rPr>
      </w:pPr>
      <w:r w:rsidRPr="005522A9">
        <w:rPr>
          <w:b/>
          <w:sz w:val="28"/>
        </w:rPr>
        <w:lastRenderedPageBreak/>
        <w:drawing>
          <wp:inline distT="0" distB="0" distL="0" distR="0" wp14:anchorId="1573AA83" wp14:editId="5826D751">
            <wp:extent cx="6760908" cy="50673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481" cy="506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F7" w:rsidRDefault="00F943A2" w:rsidP="00865FF8">
      <w:pPr>
        <w:pStyle w:val="a6"/>
        <w:numPr>
          <w:ilvl w:val="0"/>
          <w:numId w:val="2"/>
        </w:numPr>
        <w:ind w:left="142" w:firstLine="284"/>
        <w:jc w:val="both"/>
      </w:pPr>
      <w:r w:rsidRPr="002F1AE0">
        <w:rPr>
          <w:lang w:val="pl"/>
        </w:rPr>
        <w:t>Posadowienie, montaż, eksploatacja.</w:t>
      </w:r>
    </w:p>
    <w:p w:rsidR="003001F7" w:rsidRDefault="003001F7" w:rsidP="00865FF8">
      <w:pPr>
        <w:pStyle w:val="a6"/>
        <w:ind w:left="142" w:firstLine="284"/>
        <w:jc w:val="both"/>
      </w:pPr>
    </w:p>
    <w:p w:rsidR="003001F7" w:rsidRPr="003001F7" w:rsidRDefault="00F943A2" w:rsidP="00865FF8">
      <w:pPr>
        <w:pStyle w:val="a6"/>
        <w:ind w:left="142" w:firstLine="284"/>
      </w:pPr>
      <w:r w:rsidRPr="003001F7">
        <w:rPr>
          <w:lang w:val="pl"/>
        </w:rPr>
        <w:t xml:space="preserve">2.1 Montaż zbiornika należy rozpocząć od zapoznania się z kartą techniczną oraz instrukcją </w:t>
      </w:r>
      <w:bookmarkStart w:id="0" w:name="_Hlk29817757"/>
      <w:r w:rsidRPr="003001F7">
        <w:rPr>
          <w:lang w:val="pl"/>
        </w:rPr>
        <w:t xml:space="preserve">montażu i obsługi zbiorników (patrz: </w:t>
      </w:r>
      <w:hyperlink r:id="rId11" w:history="1">
        <w:r w:rsidR="00085559" w:rsidRPr="00587D3A">
          <w:rPr>
            <w:rStyle w:val="a7"/>
            <w:lang w:val="pl"/>
          </w:rPr>
          <w:t>www.s-tank.ru</w:t>
        </w:r>
      </w:hyperlink>
      <w:r w:rsidRPr="003001F7">
        <w:rPr>
          <w:lang w:val="pl"/>
        </w:rPr>
        <w:t>)</w:t>
      </w:r>
      <w:r w:rsidR="005522A9">
        <w:t xml:space="preserve"> </w:t>
      </w:r>
      <w:r w:rsidRPr="003001F7">
        <w:rPr>
          <w:lang w:val="pl"/>
        </w:rPr>
        <w:t xml:space="preserve">www.s-tank.ru) </w:t>
      </w:r>
      <w:bookmarkEnd w:id="0"/>
    </w:p>
    <w:p w:rsidR="00D559C2" w:rsidRPr="002F1AE0" w:rsidRDefault="00D559C2" w:rsidP="00865FF8">
      <w:pPr>
        <w:pStyle w:val="a6"/>
        <w:ind w:left="142" w:firstLine="284"/>
        <w:jc w:val="both"/>
      </w:pPr>
    </w:p>
    <w:p w:rsidR="007E5D0C" w:rsidRDefault="00F943A2" w:rsidP="00865FF8">
      <w:pPr>
        <w:ind w:left="142" w:firstLine="284"/>
        <w:jc w:val="both"/>
      </w:pPr>
      <w:r>
        <w:rPr>
          <w:lang w:val="pl"/>
        </w:rPr>
        <w:t xml:space="preserve">2.2 Miejsce posadowienia zbiornika należy wybrać tak, aby: </w:t>
      </w:r>
    </w:p>
    <w:p w:rsidR="007E5D0C" w:rsidRDefault="00F943A2" w:rsidP="00865FF8">
      <w:pPr>
        <w:ind w:left="142" w:firstLine="284"/>
        <w:jc w:val="both"/>
      </w:pPr>
      <w:r>
        <w:rPr>
          <w:lang w:val="pl"/>
        </w:rPr>
        <w:t>- w przypadku wycieku w zbiorniku, woda mogłaby dostać się do wlewu kanalizacji i tym samym zostać usunięta z pojemnika bez konsekwencji;</w:t>
      </w:r>
    </w:p>
    <w:p w:rsidR="00D559C2" w:rsidRDefault="00F943A2" w:rsidP="00865FF8">
      <w:pPr>
        <w:ind w:left="142" w:firstLine="284"/>
        <w:jc w:val="both"/>
      </w:pPr>
      <w:r w:rsidRPr="002F1AE0">
        <w:rPr>
          <w:lang w:val="pl"/>
        </w:rPr>
        <w:t xml:space="preserve"> - chronić przed wstrząsami, wibracjami przemysłowymi, narażeniem na opady atmosferyczne (instalować tylko w pomieszcz</w:t>
      </w:r>
      <w:r w:rsidRPr="002F1AE0">
        <w:rPr>
          <w:lang w:val="pl"/>
        </w:rPr>
        <w:t>eniach). Każde uderzenie lub oddziaływanie mechaniczne może doprowadzić do uszkodzenia materiału termoizolacyjnego, a także do naruszenia szczelności i w efekcie awarii zbiornika!</w:t>
      </w:r>
    </w:p>
    <w:p w:rsidR="003001F7" w:rsidRPr="002F1AE0" w:rsidRDefault="00F943A2" w:rsidP="00865FF8">
      <w:pPr>
        <w:pStyle w:val="a6"/>
        <w:ind w:left="142" w:firstLine="284"/>
        <w:jc w:val="both"/>
      </w:pPr>
      <w:r w:rsidRPr="003C7018">
        <w:rPr>
          <w:lang w:val="pl"/>
        </w:rPr>
        <w:t>Przed przystąpieniem do prac montażowych należy pamiętać o konieczności zape</w:t>
      </w:r>
      <w:r w:rsidRPr="003C7018">
        <w:rPr>
          <w:lang w:val="pl"/>
        </w:rPr>
        <w:t>wnienia swobodnego dostępu do zbiornika w celu wykonania podłączenia, konserwacji lub demontażu.</w:t>
      </w:r>
    </w:p>
    <w:p w:rsidR="003001F7" w:rsidRPr="003001F7" w:rsidRDefault="00F943A2" w:rsidP="00865FF8">
      <w:pPr>
        <w:ind w:left="142" w:firstLine="284"/>
        <w:jc w:val="both"/>
      </w:pPr>
      <w:r w:rsidRPr="002F1AE0">
        <w:rPr>
          <w:lang w:val="pl"/>
        </w:rPr>
        <w:t xml:space="preserve">2.3 Montaż zbiornika jest przeprowadzany przez wykwalifikowanych specjalistów oraz osoby posiadające certyfikat lub uprawnienia do wykonywania prac związanych </w:t>
      </w:r>
      <w:r w:rsidRPr="002F1AE0">
        <w:rPr>
          <w:lang w:val="pl"/>
        </w:rPr>
        <w:t>z montażem instalacji grzewczych! Potwierdzenie instalacji powinno być zaznaczone w karcie gwarancyjnej.</w:t>
      </w:r>
    </w:p>
    <w:p w:rsidR="009B3408" w:rsidRDefault="00F943A2" w:rsidP="00865FF8">
      <w:pPr>
        <w:ind w:left="142" w:firstLine="284"/>
        <w:jc w:val="both"/>
        <w:rPr>
          <w:b/>
        </w:rPr>
      </w:pPr>
      <w:r w:rsidRPr="00191D6E">
        <w:rPr>
          <w:b/>
          <w:lang w:val="pl"/>
        </w:rPr>
        <w:t>2.4. Przed rozpoczęciem eksploatacji zbiornik należy przepłukać wodą!</w:t>
      </w:r>
    </w:p>
    <w:p w:rsidR="00A557BF" w:rsidRPr="00480A77" w:rsidRDefault="00F943A2" w:rsidP="00865FF8">
      <w:pPr>
        <w:ind w:left="142" w:firstLine="284"/>
        <w:jc w:val="both"/>
        <w:rPr>
          <w:rFonts w:eastAsiaTheme="minorEastAsia"/>
          <w:color w:val="FF0000"/>
          <w:lang w:eastAsia="ru-RU"/>
        </w:rPr>
      </w:pPr>
      <w:r w:rsidRPr="003C7DFE">
        <w:rPr>
          <w:rFonts w:eastAsiaTheme="minorEastAsia"/>
          <w:color w:val="FF0000"/>
          <w:lang w:val="pl" w:eastAsia="ru-RU"/>
        </w:rPr>
        <w:lastRenderedPageBreak/>
        <w:t xml:space="preserve">- Zbiornik musi być uziemiony; w tym celu do dna zbiornika na jego części nośnej </w:t>
      </w:r>
      <w:r w:rsidRPr="003C7DFE">
        <w:rPr>
          <w:rFonts w:eastAsiaTheme="minorEastAsia"/>
          <w:color w:val="FF0000"/>
          <w:lang w:val="pl" w:eastAsia="ru-RU"/>
        </w:rPr>
        <w:t>przyspawana jest jedna lub więcej płyt, które można przymocować do palety, która z kolei może być wykorzystana do połączenia uziemienia ze zbiornikiem. Rezystancja szyny uziemiającej nie powinna przekraczać 4 omów. Dostęp do szyny uziemiającej zapewnia kli</w:t>
      </w:r>
      <w:r w:rsidRPr="003C7DFE">
        <w:rPr>
          <w:rFonts w:eastAsiaTheme="minorEastAsia"/>
          <w:color w:val="FF0000"/>
          <w:lang w:val="pl" w:eastAsia="ru-RU"/>
        </w:rPr>
        <w:t>ent.</w:t>
      </w:r>
    </w:p>
    <w:p w:rsidR="009944C7" w:rsidRPr="009944C7" w:rsidRDefault="00F943A2" w:rsidP="00865FF8">
      <w:pPr>
        <w:ind w:left="142" w:firstLine="284"/>
        <w:jc w:val="both"/>
      </w:pPr>
      <w:r w:rsidRPr="009944C7">
        <w:rPr>
          <w:lang w:val="pl"/>
        </w:rPr>
        <w:t>2.5. Odbiór towaru pod względem jakości, kompletności i ilości sztuk jednostkowej w opakowaniu Kupujący dokonuje w ciągu dwóch dni kalendarzowych od daty odbioru towaru, nie później jednak niż 14 (czternaście) dni kalendarzowych od dnia przekazania to</w:t>
      </w:r>
      <w:r w:rsidRPr="009944C7">
        <w:rPr>
          <w:lang w:val="pl"/>
        </w:rPr>
        <w:t>waru.</w:t>
      </w:r>
    </w:p>
    <w:p w:rsidR="007F1C42" w:rsidRPr="004840C1" w:rsidRDefault="00F943A2" w:rsidP="00865FF8">
      <w:pPr>
        <w:ind w:left="142" w:firstLine="284"/>
        <w:jc w:val="both"/>
        <w:rPr>
          <w:color w:val="FF0000"/>
        </w:rPr>
      </w:pPr>
      <w:r>
        <w:rPr>
          <w:lang w:val="pl"/>
        </w:rPr>
        <w:t xml:space="preserve">2.6. </w:t>
      </w:r>
      <w:r w:rsidRPr="004840C1">
        <w:rPr>
          <w:color w:val="FF0000"/>
          <w:lang w:val="pl"/>
        </w:rPr>
        <w:t>Okres wymiany anody magnezowej – nie później niż 6 miesięcy od rozpoczęcia eksploatacji. Kontrolę anody magnezowej należy wykonywać, co najmniej 1 raz na 6 miesięcy.  Kontrolę funkcjonalną anod Correx należy wykonywać, co najmniej jeden raz w ro</w:t>
      </w:r>
      <w:r w:rsidRPr="004840C1">
        <w:rPr>
          <w:color w:val="FF0000"/>
          <w:lang w:val="pl"/>
        </w:rPr>
        <w:t>ku. Sprawdź i wymień anody z dopiskiem w paszporcie (data kontroli, wyniki kontroli).</w:t>
      </w:r>
    </w:p>
    <w:p w:rsidR="003E4430" w:rsidRPr="003E4430" w:rsidRDefault="00F943A2" w:rsidP="00865FF8">
      <w:pPr>
        <w:ind w:left="142" w:firstLine="284"/>
        <w:jc w:val="both"/>
      </w:pPr>
      <w:r>
        <w:rPr>
          <w:lang w:val="pl"/>
        </w:rPr>
        <w:t xml:space="preserve"> 2.7. Nie rozpoczynaj eksploatacji zbiornika bez uprzedniego napełnienia jego wodą.</w:t>
      </w:r>
    </w:p>
    <w:p w:rsidR="003E4430" w:rsidRPr="003E4430" w:rsidRDefault="00F943A2" w:rsidP="00865FF8">
      <w:pPr>
        <w:ind w:left="142" w:firstLine="284"/>
        <w:jc w:val="both"/>
      </w:pPr>
      <w:r w:rsidRPr="003E4430">
        <w:rPr>
          <w:lang w:val="pl"/>
        </w:rPr>
        <w:t xml:space="preserve"> 2.8. Zakaz eksploatacji zbiornika bez działającego zaworu bezpieczeństwa. Stan zaworu</w:t>
      </w:r>
      <w:r w:rsidRPr="003E4430">
        <w:rPr>
          <w:lang w:val="pl"/>
        </w:rPr>
        <w:t xml:space="preserve"> bezpieczeństwa należy sprawdzać każde 14 dni, obracając korbę (pokrętła) w lewo lub w prawo tak, aby ciecz wypłynęła z bocznego wylotu na zewnątrz. Następnie ustaw korbę w pierwotnej pozycji. Jeśli po powrocie korby ciecz nie płynie, zawór jest uszkodzony</w:t>
      </w:r>
      <w:r w:rsidRPr="003E4430">
        <w:rPr>
          <w:lang w:val="pl"/>
        </w:rPr>
        <w:t>. Jeśli po przekręceniu korby i powrocie do poprzedniego położenia, zauważysz ciągłe wycieki płynu, wskazuje to, że grzybek zaworu jest zanieczyszczony. Przepłucz zawór kilka razy, otwierając wylot obracaniem korby. Aby uniknąć niekontrolowanego wycieku wo</w:t>
      </w:r>
      <w:r w:rsidRPr="003E4430">
        <w:rPr>
          <w:lang w:val="pl"/>
        </w:rPr>
        <w:t>dy, konieczne jest zainstalowanie węża do odprowadzania cieczy do zlewu. Uwaga, istnieje możliwość wyciekania gorącej wody. Nadmierne wycieki wody z zaworu bezpieczeństwa w wyniku:</w:t>
      </w:r>
    </w:p>
    <w:p w:rsidR="003E4430" w:rsidRPr="003E4430" w:rsidRDefault="00F943A2" w:rsidP="00865FF8">
      <w:pPr>
        <w:ind w:left="142" w:firstLine="284"/>
        <w:jc w:val="both"/>
      </w:pPr>
      <w:r w:rsidRPr="003E4430">
        <w:rPr>
          <w:lang w:val="pl"/>
        </w:rPr>
        <w:t>1) ciśnienie wody wpływającej jest wyższe od dopuszczalnej wartości,</w:t>
      </w:r>
    </w:p>
    <w:p w:rsidR="003E4430" w:rsidRPr="003E4430" w:rsidRDefault="00F943A2" w:rsidP="00865FF8">
      <w:pPr>
        <w:ind w:left="142" w:firstLine="284"/>
        <w:jc w:val="both"/>
      </w:pPr>
      <w:r w:rsidRPr="003E4430">
        <w:rPr>
          <w:lang w:val="pl"/>
        </w:rPr>
        <w:t>2) kró</w:t>
      </w:r>
      <w:r w:rsidRPr="003E4430">
        <w:rPr>
          <w:lang w:val="pl"/>
        </w:rPr>
        <w:t>tkotrwałe, nagłe skoki ciśnienia wpływającej wody - nie stanowi przypadek gwarancyjny i nie podlega wymianie. Firma nie ponosi odpowiedzialności za złe działanie zaworu bezpieczeństwa, spowodowane niewłaściwą instalacją zaworu oraz błędami systemowymi taki</w:t>
      </w:r>
      <w:r w:rsidRPr="003E4430">
        <w:rPr>
          <w:lang w:val="pl"/>
        </w:rPr>
        <w:t>mi jak brak reduktora ciśnienia w instalacji doprowadzenia zimnej wody.</w:t>
      </w:r>
    </w:p>
    <w:p w:rsidR="003E4430" w:rsidRPr="003E4430" w:rsidRDefault="00F943A2" w:rsidP="00865FF8">
      <w:pPr>
        <w:ind w:left="142" w:firstLine="284"/>
        <w:jc w:val="both"/>
      </w:pPr>
      <w:r w:rsidRPr="003E4430">
        <w:rPr>
          <w:lang w:val="pl"/>
        </w:rPr>
        <w:t xml:space="preserve">2.9. Zakaz blokowania kapania wody z zaworu bezpieczeństwa - nie zatykaj otworu zaworu bezpieczeństwa. Jeśli woda przez cały czas wycieka z zaworu, oznacza to, że ciśnienie w układzie </w:t>
      </w:r>
      <w:r w:rsidRPr="003E4430">
        <w:rPr>
          <w:lang w:val="pl"/>
        </w:rPr>
        <w:t>jest zbyt wysokie lub, że zawór bezpieczeństwa jest uszkodzony. Wylot zaworu spustowego musi być skierowany w dół. Zaleca się umieszczenie lejka pod zaworem do spustu wody. Możesz zainstalować wąż spustowy i poprowadzić go do odpływu w celu odprowadzenia w</w:t>
      </w:r>
      <w:r w:rsidRPr="003E4430">
        <w:rPr>
          <w:lang w:val="pl"/>
        </w:rPr>
        <w:t>ody, która wycieka po otwarciu zaworu bezpieczeństwa. Wąż musi wytrzymać temperaturę +95 stopni Celsjusza, być o średnicy wewnętrznej 9 mm, o maksymalnej długości 1,2 m, płaszczyźnie drenażowej ze spadkiem (min. 3%), w pomieszczeniu, w którym temperatura n</w:t>
      </w:r>
      <w:r w:rsidRPr="003E4430">
        <w:rPr>
          <w:lang w:val="pl"/>
        </w:rPr>
        <w:t>ie spada poniżej 0 stopni Celsjusza. Wąż musi być zabezpieczony przed uszkodzeniami mechanicznymi, a jego wylot musi być widoczny (aby sprawdzić działanie zaworu).</w:t>
      </w:r>
    </w:p>
    <w:p w:rsidR="003E4430" w:rsidRDefault="003E4430" w:rsidP="00865FF8">
      <w:pPr>
        <w:ind w:left="142" w:firstLine="284"/>
        <w:jc w:val="both"/>
      </w:pPr>
    </w:p>
    <w:p w:rsidR="003001F7" w:rsidRDefault="00F943A2" w:rsidP="00865FF8">
      <w:pPr>
        <w:ind w:left="142" w:firstLine="284"/>
        <w:jc w:val="both"/>
      </w:pPr>
      <w:r w:rsidRPr="002F1AE0">
        <w:rPr>
          <w:lang w:val="pl"/>
        </w:rPr>
        <w:t>2.10. Zbiornik nie powinien znajdować się w bezpośrednim sąsiedztwie otwartego ognia, ani d</w:t>
      </w:r>
      <w:r w:rsidRPr="002F1AE0">
        <w:rPr>
          <w:lang w:val="pl"/>
        </w:rPr>
        <w:t>otykać izolacji kotła, organizacja montażowa pod czas montowania instalacji grzewczej ze zbiornikiem musi zapewnić przestrzeganie podczas eksploatacji norm przeciwpożarowych!</w:t>
      </w:r>
    </w:p>
    <w:p w:rsidR="003E4430" w:rsidRDefault="00F943A2" w:rsidP="00865FF8">
      <w:pPr>
        <w:ind w:left="142" w:firstLine="284"/>
        <w:jc w:val="both"/>
      </w:pPr>
      <w:r>
        <w:rPr>
          <w:lang w:val="pl"/>
        </w:rPr>
        <w:t>2.11. Natychmiast wyłącz zbiornik, jeśli z miksera wydobywa się para (należy to z</w:t>
      </w:r>
      <w:r>
        <w:rPr>
          <w:lang w:val="pl"/>
        </w:rPr>
        <w:t>głosić do centrum serwisowego)</w:t>
      </w:r>
    </w:p>
    <w:p w:rsidR="003E4430" w:rsidRDefault="00F943A2" w:rsidP="00865FF8">
      <w:pPr>
        <w:ind w:left="142" w:firstLine="284"/>
        <w:jc w:val="both"/>
      </w:pPr>
      <w:r>
        <w:rPr>
          <w:lang w:val="pl"/>
        </w:rPr>
        <w:t>2.12. Ciągła praca zbiornika w maksymalnej temperaturze powoduje zużycie części elektrycznych zbiornika.</w:t>
      </w:r>
    </w:p>
    <w:p w:rsidR="003E4430" w:rsidRPr="003E4430" w:rsidRDefault="00F943A2" w:rsidP="00865FF8">
      <w:pPr>
        <w:tabs>
          <w:tab w:val="left" w:pos="426"/>
        </w:tabs>
        <w:ind w:left="142" w:firstLine="284"/>
        <w:jc w:val="both"/>
      </w:pPr>
      <w:r>
        <w:rPr>
          <w:lang w:val="pl"/>
        </w:rPr>
        <w:t xml:space="preserve">2.13. Odpowiednie zabezpieczenie kotła w kontakcie z zasobnikiem zapewnia właściwą ochronę wymiennika ciepła w </w:t>
      </w:r>
      <w:r>
        <w:rPr>
          <w:lang w:val="pl"/>
        </w:rPr>
        <w:t>wzbiorniku.</w:t>
      </w:r>
    </w:p>
    <w:p w:rsidR="003E4430" w:rsidRPr="003E4430" w:rsidRDefault="00F943A2" w:rsidP="00865FF8">
      <w:pPr>
        <w:ind w:left="142" w:firstLine="284"/>
        <w:jc w:val="both"/>
      </w:pPr>
      <w:r>
        <w:rPr>
          <w:lang w:val="pl"/>
        </w:rPr>
        <w:t>2.14. Co 12 miesięcy konieczne jest przeprowadzenie działań zapobiegawczych w celu przepłukania zbiornika z osadów.</w:t>
      </w:r>
    </w:p>
    <w:p w:rsidR="003E4430" w:rsidRPr="003E4430" w:rsidRDefault="00F943A2" w:rsidP="00865FF8">
      <w:pPr>
        <w:ind w:left="142" w:firstLine="284"/>
        <w:jc w:val="both"/>
      </w:pPr>
      <w:r>
        <w:rPr>
          <w:lang w:val="pl"/>
        </w:rPr>
        <w:t>2.15. Aby przedłużyć żywotność zbiornika i zapewnić skuteczne działanie zaworu bezpieczeństwa, należy stosować filtry wolne od z</w:t>
      </w:r>
      <w:r>
        <w:rPr>
          <w:lang w:val="pl"/>
        </w:rPr>
        <w:t>anieczyszczeń.</w:t>
      </w:r>
    </w:p>
    <w:p w:rsidR="009C0B35" w:rsidRDefault="00F943A2" w:rsidP="00865FF8">
      <w:pPr>
        <w:ind w:left="142" w:firstLine="284"/>
        <w:jc w:val="both"/>
      </w:pPr>
      <w:r>
        <w:rPr>
          <w:lang w:val="pl"/>
        </w:rPr>
        <w:lastRenderedPageBreak/>
        <w:t>2.16. Podgrzewacz wody musi być podłączony bezpośrednio do sieci wodociągowej o ciśnieniu nie większym niż 0,6 MPa (ok. 6 bar), a ciśnienie minimalne nie może być mniejsze niż 0,1 MPa - 1 bar. Na rurze doprowadzającej zimną wodę musi być zai</w:t>
      </w:r>
      <w:r>
        <w:rPr>
          <w:lang w:val="pl"/>
        </w:rPr>
        <w:t>nstalowany zawór bezpieczeństwa. Wylot zaworu bezpieczeństwa musi być stale otwarty - połączony z atmosferą. Pomiędzy zaworem bezpieczeństwa a nagrzewnicą nie należy montować żadnego urządzenia (np. zaworu zwrotnego, zaworu odcinającego), jednak można zamo</w:t>
      </w:r>
      <w:r>
        <w:rPr>
          <w:lang w:val="pl"/>
        </w:rPr>
        <w:t xml:space="preserve">ntować trójnik z zaworem spustowym. Gdy ciśnienie w instalacji wodociągowej przekracza 0,6 MPa, należy jego zmniejszyć za pomocą zaworu redukcyjnego.  </w:t>
      </w:r>
    </w:p>
    <w:p w:rsidR="009C0B35" w:rsidRPr="009C0B35" w:rsidRDefault="00F943A2" w:rsidP="00865FF8">
      <w:pPr>
        <w:ind w:left="142" w:firstLine="284"/>
        <w:jc w:val="both"/>
      </w:pPr>
      <w:r w:rsidRPr="009C0B35">
        <w:rPr>
          <w:lang w:val="pl"/>
        </w:rPr>
        <w:t>2.17. Wszelkie prace konserwacyjne i instalacyjne muszą być wykonywane zgodnie z obowiązującymi przepisa</w:t>
      </w:r>
      <w:r w:rsidRPr="009C0B35">
        <w:rPr>
          <w:lang w:val="pl"/>
        </w:rPr>
        <w:t>mi bezpieczeństwa.</w:t>
      </w:r>
    </w:p>
    <w:p w:rsidR="009C0B35" w:rsidRPr="009C0B35" w:rsidRDefault="00F943A2" w:rsidP="00865FF8">
      <w:pPr>
        <w:spacing w:after="160" w:line="259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pl"/>
        </w:rPr>
        <w:t>2.18. PRZYCZYNY AWARII</w:t>
      </w:r>
    </w:p>
    <w:tbl>
      <w:tblPr>
        <w:tblStyle w:val="10"/>
        <w:tblW w:w="9345" w:type="dxa"/>
        <w:tblInd w:w="821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2804" w:rsidTr="009C0B35"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Usterki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Przyczyna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Usunięcie usterek</w:t>
            </w:r>
          </w:p>
        </w:tc>
      </w:tr>
      <w:tr w:rsidR="00AA2804" w:rsidTr="009C0B35"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Zawór bezpieczeństwa się nie otwiera (również przy próbie przedmuchu)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-Zawór bezpieczeństwa jest zanieczyszczony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-Wyczyść zawór lub wymień</w:t>
            </w:r>
          </w:p>
        </w:tc>
      </w:tr>
      <w:tr w:rsidR="00AA2804" w:rsidTr="009C0B35"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Zawór bezpieczeństwa przecieka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 xml:space="preserve">- </w:t>
            </w: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Zawór bezpieczeństwa jest zanieczyszczony lub uszkodzony.</w:t>
            </w:r>
          </w:p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Ciśnienie wody jest za wysokie.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Oczyść zawór bezpieczeństwa.</w:t>
            </w:r>
          </w:p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Użyj reduktora ciśnienia.</w:t>
            </w:r>
          </w:p>
        </w:tc>
      </w:tr>
      <w:tr w:rsidR="00AA2804" w:rsidTr="009C0B35"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Woda w podgrzewaczu wody jest zanieczyszczona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W zbiorniku jest dużo osadu.</w:t>
            </w:r>
          </w:p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 xml:space="preserve">- Anoda magnezowa jest </w:t>
            </w: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zużyta.</w:t>
            </w:r>
          </w:p>
        </w:tc>
        <w:tc>
          <w:tcPr>
            <w:tcW w:w="3115" w:type="dxa"/>
          </w:tcPr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Oczyść zbiornik z osadu.</w:t>
            </w:r>
          </w:p>
          <w:p w:rsidR="009C0B35" w:rsidRPr="009C0B35" w:rsidRDefault="00F943A2" w:rsidP="00865FF8">
            <w:pPr>
              <w:spacing w:after="160" w:line="259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Wymień anodę magnezową (przypadek nieobjęty gwarancją)</w:t>
            </w:r>
          </w:p>
        </w:tc>
      </w:tr>
    </w:tbl>
    <w:p w:rsidR="00F832A6" w:rsidRDefault="00F943A2" w:rsidP="00F832A6">
      <w:pPr>
        <w:ind w:left="142" w:firstLine="284"/>
        <w:jc w:val="both"/>
        <w:rPr>
          <w:b/>
          <w:color w:val="FF0000"/>
        </w:rPr>
      </w:pPr>
      <w:r w:rsidRPr="00576B65">
        <w:rPr>
          <w:b/>
          <w:color w:val="FF0000"/>
          <w:lang w:val="pl"/>
        </w:rPr>
        <w:t>W zależności od objętości obiegu CWU konieczne jest zainstalowanie zbiornika wyrównawczego (10% objętości obiegu) i zestawu bezpieczeństwa (6 bar) w tym obiegu, po</w:t>
      </w:r>
      <w:r w:rsidRPr="00576B65">
        <w:rPr>
          <w:b/>
          <w:color w:val="FF0000"/>
          <w:lang w:val="pl"/>
        </w:rPr>
        <w:t>nieważ system jest zamknięty!!!</w:t>
      </w:r>
    </w:p>
    <w:p w:rsidR="009C0B35" w:rsidRPr="009C0B35" w:rsidRDefault="009C0B35" w:rsidP="00865FF8">
      <w:pPr>
        <w:spacing w:after="160" w:line="259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</w:p>
    <w:p w:rsidR="00D559C2" w:rsidRPr="002F1AE0" w:rsidRDefault="00F943A2" w:rsidP="00865FF8">
      <w:pPr>
        <w:ind w:left="142" w:firstLine="284"/>
        <w:jc w:val="both"/>
      </w:pPr>
      <w:r w:rsidRPr="002F1AE0">
        <w:rPr>
          <w:lang w:val="pl"/>
        </w:rPr>
        <w:t>3.</w:t>
      </w:r>
      <w:r w:rsidRPr="002F1AE0">
        <w:rPr>
          <w:lang w:val="pl"/>
        </w:rPr>
        <w:tab/>
        <w:t>Wybór zbiornika</w:t>
      </w:r>
    </w:p>
    <w:p w:rsidR="00D559C2" w:rsidRPr="002F1AE0" w:rsidRDefault="00F943A2" w:rsidP="00865FF8">
      <w:pPr>
        <w:ind w:left="142" w:firstLine="284"/>
        <w:jc w:val="both"/>
      </w:pPr>
      <w:r>
        <w:rPr>
          <w:lang w:val="pl"/>
        </w:rPr>
        <w:t>3.1 Dobór zbiornika dokonywany jest indywidualnie według parametrów instalacji grzewczej lub zgodnie z dokumentacją projektową.</w:t>
      </w:r>
    </w:p>
    <w:p w:rsidR="00D559C2" w:rsidRPr="002F1AE0" w:rsidRDefault="00F943A2" w:rsidP="00865FF8">
      <w:pPr>
        <w:ind w:left="142" w:firstLine="284"/>
        <w:jc w:val="both"/>
      </w:pPr>
      <w:r w:rsidRPr="002F1AE0">
        <w:rPr>
          <w:lang w:val="pl"/>
        </w:rPr>
        <w:t>3.2 Producent zastrzega sobie prawo do wprowadzania zmian technicznych, zgod</w:t>
      </w:r>
      <w:r w:rsidRPr="002F1AE0">
        <w:rPr>
          <w:lang w:val="pl"/>
        </w:rPr>
        <w:t>nie z dokumentacją projektową.</w:t>
      </w:r>
    </w:p>
    <w:p w:rsidR="00027F54" w:rsidRDefault="00027F54" w:rsidP="00865FF8">
      <w:pPr>
        <w:ind w:left="142" w:firstLine="284"/>
        <w:jc w:val="both"/>
      </w:pPr>
    </w:p>
    <w:p w:rsidR="00D559C2" w:rsidRPr="002F1AE0" w:rsidRDefault="00F943A2" w:rsidP="00865FF8">
      <w:pPr>
        <w:ind w:left="142" w:firstLine="284"/>
        <w:jc w:val="both"/>
      </w:pPr>
      <w:r w:rsidRPr="002F1AE0">
        <w:rPr>
          <w:lang w:val="pl"/>
        </w:rPr>
        <w:t>4.</w:t>
      </w:r>
      <w:r w:rsidRPr="002F1AE0">
        <w:rPr>
          <w:lang w:val="pl"/>
        </w:rPr>
        <w:tab/>
        <w:t>Zobowiązania gwarancyjne</w:t>
      </w:r>
    </w:p>
    <w:p w:rsidR="00FC6B3B" w:rsidRDefault="00F943A2" w:rsidP="00FC6B3B">
      <w:pPr>
        <w:ind w:left="142" w:firstLine="284"/>
        <w:jc w:val="both"/>
        <w:rPr>
          <w:color w:val="000000" w:themeColor="text1"/>
        </w:rPr>
      </w:pPr>
      <w:r w:rsidRPr="002F1AE0">
        <w:rPr>
          <w:lang w:val="pl"/>
        </w:rPr>
        <w:t>4.1 Producent gwarantuje zgodność pojemników zbiorczych S-TANK serii "SS solar" z wymogami bezpieczeństwa, pod warunkiem przestrzegania przez konsumenta zasad transportu, przechowywania, montażu i</w:t>
      </w:r>
      <w:r w:rsidRPr="002F1AE0">
        <w:rPr>
          <w:lang w:val="pl"/>
        </w:rPr>
        <w:t xml:space="preserve"> eksploatacji</w:t>
      </w:r>
      <w:r w:rsidRPr="009538D0">
        <w:rPr>
          <w:color w:val="000000" w:themeColor="text1"/>
          <w:lang w:val="pl"/>
        </w:rPr>
        <w:t>. Okres gwarancji wynosi 2 lata. Niniejsze zobowiązania gwarancyjne wchodzą w życie z chwilą zarejestrowania produktu u producenta w ciągu dwóch miesięcy od daty zakupu.</w:t>
      </w:r>
    </w:p>
    <w:p w:rsidR="00FC6B3B" w:rsidRDefault="00F943A2" w:rsidP="00FC6B3B">
      <w:pPr>
        <w:ind w:left="142" w:firstLine="284"/>
        <w:jc w:val="both"/>
        <w:rPr>
          <w:color w:val="000000" w:themeColor="text1"/>
        </w:rPr>
      </w:pPr>
      <w:r>
        <w:rPr>
          <w:color w:val="000000" w:themeColor="text1"/>
          <w:lang w:val="pl"/>
        </w:rPr>
        <w:t xml:space="preserve">Rejestracja produktu odbywa się poprzez przesłanie niezbędnych informacji na pocztę producenta  </w:t>
      </w:r>
    </w:p>
    <w:p w:rsidR="00FC6B3B" w:rsidRPr="009A418C" w:rsidRDefault="00F943A2" w:rsidP="00FC6B3B">
      <w:pPr>
        <w:ind w:left="142" w:firstLine="284"/>
        <w:jc w:val="both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 xml:space="preserve"> </w:t>
      </w:r>
      <w:hyperlink r:id="rId12" w:history="1">
        <w:r w:rsidRPr="00D2121E">
          <w:rPr>
            <w:rStyle w:val="a7"/>
            <w:lang w:val="pl"/>
          </w:rPr>
          <w:t>s-tank.garan@mail.ru</w:t>
        </w:r>
      </w:hyperlink>
      <w:r>
        <w:rPr>
          <w:color w:val="000000" w:themeColor="text1"/>
          <w:lang w:val="pl"/>
        </w:rPr>
        <w:t xml:space="preserve"> , lista niezbędnych dokumentów podana w Instrukcji montażu i obsługi </w:t>
      </w:r>
      <w:hyperlink r:id="rId13" w:history="1">
        <w:r w:rsidR="00D254F1">
          <w:rPr>
            <w:rStyle w:val="a7"/>
            <w:lang w:val="pl"/>
          </w:rPr>
          <w:t>http://s-tank.by/wp-content/uploads/Instrukcziya-po-montazhu-i-ekspluataczii-bakov-S-TANK-2.pdf</w:t>
        </w:r>
      </w:hyperlink>
      <w:r>
        <w:rPr>
          <w:color w:val="000000" w:themeColor="text1"/>
          <w:lang w:val="pl"/>
        </w:rPr>
        <w:t xml:space="preserve"> w przypadku braku rejestracji produktu, okres gwarancyjny wynosi 1(jeden</w:t>
      </w:r>
      <w:r>
        <w:rPr>
          <w:color w:val="000000" w:themeColor="text1"/>
          <w:lang w:val="pl"/>
        </w:rPr>
        <w:t>) rok od daty sprzedaży.</w:t>
      </w:r>
    </w:p>
    <w:p w:rsidR="00D559C2" w:rsidRPr="002F1AE0" w:rsidRDefault="00F943A2" w:rsidP="00865FF8">
      <w:pPr>
        <w:ind w:left="142" w:firstLine="284"/>
        <w:jc w:val="both"/>
      </w:pPr>
      <w:r w:rsidRPr="002F1AE0">
        <w:rPr>
          <w:lang w:val="pl"/>
        </w:rPr>
        <w:t>4.2 Procedura realizacji zobowiązań gwarancyjnych. Jeżeli roszczenia gwarancyjne są uzasadnione, dział serwisowy "S-TANK WATER HEATERS" podejmuje decyzję w jaki sposób można usunąć stwierdzone braki: poprzez naprawę lub wymianę wad</w:t>
      </w:r>
      <w:r w:rsidRPr="002F1AE0">
        <w:rPr>
          <w:lang w:val="pl"/>
        </w:rPr>
        <w:t xml:space="preserve">liwego urządzenia. Przy tym okres gwarancji określony w karcie gwarancyjnej nie ulega zmianie. W przypadku wymiany wadliwego urządzenia na nowe okres gwarancji nie ulega przedłużeniu, a w karcie gwarancyjnej umieszcza się adnotację o wymianie. </w:t>
      </w:r>
    </w:p>
    <w:p w:rsidR="00D559C2" w:rsidRDefault="00F943A2" w:rsidP="00865FF8">
      <w:pPr>
        <w:ind w:left="142" w:firstLine="284"/>
        <w:jc w:val="both"/>
      </w:pPr>
      <w:r w:rsidRPr="002F1AE0">
        <w:rPr>
          <w:lang w:val="pl"/>
        </w:rPr>
        <w:t>4.3 Gwaranc</w:t>
      </w:r>
      <w:r w:rsidRPr="002F1AE0">
        <w:rPr>
          <w:lang w:val="pl"/>
        </w:rPr>
        <w:t>ja nie obejmuje wad powstałych z winy konsumenta w wyniku naruszenia zasad Instrukcji montażu i obsługi, wymagań Karty technicznej, a także w razie stwierdzenia uszkodzeń mechanicznych.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 xml:space="preserve">4.4. W przypadku usterek stwierdzonych w okresie gwarancyjnym, należy </w:t>
      </w:r>
      <w:r w:rsidRPr="007207E2">
        <w:rPr>
          <w:lang w:val="pl"/>
        </w:rPr>
        <w:t>skontaktować się z producentem/importerem. Bezpłatna naprawa usterek powstałych z winy producenta zostanie przeprowadzona w terminie określonym w obowiązujących przepisach, od dnia potwierdzenia przez producenta/importera przypadku gwarancyjnego.</w:t>
      </w:r>
    </w:p>
    <w:p w:rsidR="007207E2" w:rsidRPr="007207E2" w:rsidRDefault="00F943A2" w:rsidP="00865FF8">
      <w:pPr>
        <w:ind w:left="142" w:firstLine="284"/>
        <w:jc w:val="both"/>
      </w:pPr>
      <w:r>
        <w:rPr>
          <w:lang w:val="pl"/>
        </w:rPr>
        <w:t>UWAGA - N</w:t>
      </w:r>
      <w:r>
        <w:rPr>
          <w:lang w:val="pl"/>
        </w:rPr>
        <w:t>ie demontuj zbiornika w przypadku nastania przypadku reklamacyjnego przed uzyskaniem zgody producenta.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4.5.  Aby zgłosić reklamację do serwisu importera/sprzedawcy należy podać następujące dane: numer przesyłki i numer seryjny produktu (znajduje się na nak</w:t>
      </w:r>
      <w:r w:rsidRPr="007207E2">
        <w:rPr>
          <w:lang w:val="pl"/>
        </w:rPr>
        <w:t>lejce informacyjnej), datę zakupu (paragon, pokwitowanie), opis usterki, dokładny adres zamontowania oraz telefoniczny numer kontaktowy użytkownika.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4.6. Warunkiem naprawy gwarancyjnej zbiornika jest dostarczenie przez użytkownika dowodu zakupu, listu prze</w:t>
      </w:r>
      <w:r w:rsidRPr="007207E2">
        <w:rPr>
          <w:lang w:val="pl"/>
        </w:rPr>
        <w:t xml:space="preserve">wozowego oraz karty gwarancyjnej, prawidłowo wypełnionej w całości, z oznaczeniem sprzedawcy i organizacji montażowej, i nie zawierającej żadnych poprawek. Kartę gwarancyjną należy przechowywać przez cały okres eksploatacji sprzętu. 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 xml:space="preserve">4.7. Zakaz montowania </w:t>
      </w:r>
      <w:r w:rsidRPr="007207E2">
        <w:rPr>
          <w:lang w:val="pl"/>
        </w:rPr>
        <w:t>zbiornika bez działającego zaworu bezpieczeństwa. Warunkiem zachowania gwarancji jest dowód zakupu odpowiedniego zaworu bezpieczeństwa oraz karta gwarancyjna zaworu bezpieczeństwa.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4.8.  Montaż i uruchomienie zbiornika, który jest przedmiotem gwarancji, mu</w:t>
      </w:r>
      <w:r w:rsidRPr="007207E2">
        <w:rPr>
          <w:lang w:val="pl"/>
        </w:rPr>
        <w:t xml:space="preserve">si być wykonany przez wykwalifikowanego specjalistę zgodnie z zasadami określonymi przez prawo oraz instrukcją montażu i obsługi.(czytaj na </w:t>
      </w:r>
      <w:hyperlink r:id="rId14" w:history="1">
        <w:r w:rsidR="00085559" w:rsidRPr="00587D3A">
          <w:rPr>
            <w:rStyle w:val="a7"/>
            <w:lang w:val="pl"/>
          </w:rPr>
          <w:t>www.s-tank.ru</w:t>
        </w:r>
      </w:hyperlink>
      <w:r w:rsidR="003306E1">
        <w:rPr>
          <w:rStyle w:val="a7"/>
          <w:lang w:val="pl"/>
        </w:rPr>
        <w:t>)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4.9.  Chroń zbiornik przed bezpośrednim działaniem promieni słon</w:t>
      </w:r>
      <w:r w:rsidRPr="007207E2">
        <w:rPr>
          <w:lang w:val="pl"/>
        </w:rPr>
        <w:t>ecznych.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4.10. Zbiornik powinien być posadowiony w miejscach, nie narażonych na wpływy atmosferyczne (deszcz, śnieg itp.)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 xml:space="preserve"> 4.11.  Do podłączenia zbiornika nie należy używać rur plastikowych, które nie nadają się do pracy       w temperaturze 100 stopni Cel</w:t>
      </w:r>
      <w:r w:rsidRPr="007207E2">
        <w:rPr>
          <w:lang w:val="pl"/>
        </w:rPr>
        <w:t>sjusza i ciśnieniu 1,0 MPa.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4.12. Zbiornik powinien być zainstalowany w taki sposób, aby zapewnić do niego łatwy dostęp w celu wykonania konserwacji.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4.13. Producent nie ponosi odpowiedzialności za niedogodności lub koszty związane ze zmianami konstrukcyjn</w:t>
      </w:r>
      <w:r w:rsidRPr="007207E2">
        <w:rPr>
          <w:lang w:val="pl"/>
        </w:rPr>
        <w:t>ymi budynku/lokalu, które są konieczne ze względu na warunki miejsca posadowienia (np. wąskie drzwi lub korytarze) – wniosek o pokrycie tych kosztów zostanie przez producenta odrzucony. Jeżeli montaż podgrzewacza wody ma być przeprowadzony w nietypowym mie</w:t>
      </w:r>
      <w:r w:rsidRPr="007207E2">
        <w:rPr>
          <w:lang w:val="pl"/>
        </w:rPr>
        <w:t>jscu (np. na strychu, w pomieszczeniach z wrażliwą na wodę posadzką, magazynach itp.) należy zabezpieczyć pomieszczenie przed ewentualnym przedostaniem się wody i rozważyć zainstalowanie urządzeń zaprojektowanych do zbierania i odprowadzania tej wody, w ce</w:t>
      </w:r>
      <w:r w:rsidRPr="007207E2">
        <w:rPr>
          <w:lang w:val="pl"/>
        </w:rPr>
        <w:t>lu uniknięcia awarii.</w:t>
      </w:r>
    </w:p>
    <w:p w:rsidR="007207E2" w:rsidRPr="007207E2" w:rsidRDefault="00F943A2" w:rsidP="00865FF8">
      <w:pPr>
        <w:ind w:left="142" w:firstLine="284"/>
        <w:jc w:val="both"/>
      </w:pPr>
      <w:r w:rsidRPr="007207E2">
        <w:rPr>
          <w:lang w:val="pl"/>
        </w:rPr>
        <w:t>4.14. Wszelkie uszkodzenia mechaniczne zbiornika prowadzą do utraty gwarancji.</w:t>
      </w:r>
    </w:p>
    <w:p w:rsidR="007207E2" w:rsidRPr="007207E2" w:rsidRDefault="00F943A2" w:rsidP="00865FF8">
      <w:pPr>
        <w:ind w:left="142" w:firstLine="284"/>
        <w:jc w:val="both"/>
      </w:pPr>
      <w:r>
        <w:rPr>
          <w:lang w:val="pl"/>
        </w:rPr>
        <w:lastRenderedPageBreak/>
        <w:t>4.15. Zawór bezpieczeństwa powinien być zainstalowany bezpośrednio przed zbiornikiem na rurze doprowadzającej do niego zimną wodę. Stosować wyłącznie zawor</w:t>
      </w:r>
      <w:r>
        <w:rPr>
          <w:lang w:val="pl"/>
        </w:rPr>
        <w:t>y o odpowiednich danych technicznych, które są odpowiednie dla pojemnościowych podgrzewaczy wody. Zawór bezpieczeństwa należy stosować zgodnie z instrukcją obsługi zaworu.</w:t>
      </w:r>
    </w:p>
    <w:p w:rsidR="007207E2" w:rsidRPr="007207E2" w:rsidRDefault="00F943A2" w:rsidP="00865FF8">
      <w:pPr>
        <w:ind w:left="142" w:firstLine="284"/>
        <w:jc w:val="both"/>
      </w:pPr>
      <w:r>
        <w:rPr>
          <w:lang w:val="pl"/>
        </w:rPr>
        <w:t>4.16. Zabrania się instalowania dodatkowych urządzeń (na przykład, zawór odcinający,</w:t>
      </w:r>
      <w:r>
        <w:rPr>
          <w:lang w:val="pl"/>
        </w:rPr>
        <w:t xml:space="preserve"> zawór zwrotny itp.) pomiędzy zaworem bezpieczeństwa a podgrzewaczem wody. Zaleca się jedynie zainstalowanie trójnika do odprowadzania wody ze zbiornika.</w:t>
      </w:r>
    </w:p>
    <w:p w:rsidR="007207E2" w:rsidRPr="007207E2" w:rsidRDefault="00F943A2" w:rsidP="00865FF8">
      <w:pPr>
        <w:ind w:left="142" w:firstLine="284"/>
        <w:jc w:val="both"/>
      </w:pPr>
      <w:r>
        <w:rPr>
          <w:lang w:val="pl"/>
        </w:rPr>
        <w:t>4.17. Nie instaluj zbiornika w pomieszczeniach, w których temperatura otoczenia może spaść poniżej 0 s</w:t>
      </w:r>
      <w:r>
        <w:rPr>
          <w:lang w:val="pl"/>
        </w:rPr>
        <w:t>topni Celsjusza.</w:t>
      </w:r>
    </w:p>
    <w:p w:rsidR="00D559C2" w:rsidRPr="002F1AE0" w:rsidRDefault="00F943A2" w:rsidP="00865FF8">
      <w:pPr>
        <w:ind w:left="142" w:firstLine="284"/>
        <w:jc w:val="both"/>
      </w:pPr>
      <w:r w:rsidRPr="002F1AE0">
        <w:rPr>
          <w:lang w:val="pl"/>
        </w:rPr>
        <w:t>4.18. Gwarancja nie obowiązuje, jeżeli:</w:t>
      </w:r>
    </w:p>
    <w:p w:rsidR="00D559C2" w:rsidRPr="000A3E16" w:rsidRDefault="00F943A2" w:rsidP="002423CB">
      <w:pPr>
        <w:spacing w:line="240" w:lineRule="auto"/>
        <w:ind w:left="142" w:firstLine="284"/>
        <w:jc w:val="both"/>
      </w:pPr>
      <w:r w:rsidRPr="002F1AE0">
        <w:rPr>
          <w:lang w:val="pl"/>
        </w:rPr>
        <w:t xml:space="preserve">- instalacja grzewcza ze zbiornikiem nie została napełniona roztworem wody destylowanej lub specjalnie przygotowanym roztworem do napełniania instalacji grzewczych z odpowiednim świadectwem jakości </w:t>
      </w:r>
      <w:r w:rsidRPr="002F1AE0">
        <w:rPr>
          <w:lang w:val="pl"/>
        </w:rPr>
        <w:t>(dla zbiorników przeznaczonych do instalacji grzewczych); W wymienniku ciepła zasobnika CWU musi być również oczyszczona lub przygotowana woda (nie dotyczy HFWT);</w:t>
      </w:r>
    </w:p>
    <w:p w:rsidR="00287EC8" w:rsidRPr="00F5265A" w:rsidRDefault="00F943A2" w:rsidP="002423CB">
      <w:pPr>
        <w:spacing w:line="240" w:lineRule="auto"/>
        <w:ind w:left="142" w:firstLine="284"/>
        <w:jc w:val="both"/>
        <w:rPr>
          <w:rFonts w:eastAsiaTheme="minorEastAsia"/>
          <w:lang w:eastAsia="ru-RU"/>
        </w:rPr>
      </w:pPr>
      <w:r w:rsidRPr="00F5265A">
        <w:rPr>
          <w:rFonts w:eastAsiaTheme="minorEastAsia"/>
          <w:lang w:val="pl" w:eastAsia="ru-RU"/>
        </w:rPr>
        <w:t xml:space="preserve">- instalacja grzewcza nie była uziemiona (jest to konieczne, aby zapobiec wpływowi </w:t>
      </w:r>
      <w:r w:rsidRPr="00F5265A">
        <w:rPr>
          <w:rFonts w:eastAsiaTheme="minorEastAsia"/>
          <w:lang w:val="pl" w:eastAsia="ru-RU"/>
        </w:rPr>
        <w:t>pasożytniczych (błądzących) prądów na metal i w efekcie powstawaniu i przyspieszeniu korozji);</w:t>
      </w:r>
    </w:p>
    <w:p w:rsidR="00D559C2" w:rsidRDefault="00F943A2" w:rsidP="002423CB">
      <w:pPr>
        <w:spacing w:line="240" w:lineRule="auto"/>
        <w:ind w:left="142" w:firstLine="284"/>
        <w:jc w:val="both"/>
      </w:pPr>
      <w:r w:rsidRPr="002F1AE0">
        <w:rPr>
          <w:lang w:val="pl"/>
        </w:rPr>
        <w:t>- w przypadku stosowania zbiornika w instalacjach grzewczych z obecnym w sieci powietrzem (dla zbiorników przeznaczonych do instalacji grzewczych);</w:t>
      </w:r>
    </w:p>
    <w:p w:rsidR="000A3E16" w:rsidRPr="002F1AE0" w:rsidRDefault="00F943A2" w:rsidP="002423CB">
      <w:pPr>
        <w:spacing w:line="240" w:lineRule="auto"/>
        <w:ind w:left="142" w:firstLine="284"/>
        <w:jc w:val="both"/>
      </w:pPr>
      <w:r>
        <w:rPr>
          <w:lang w:val="pl"/>
        </w:rPr>
        <w:t xml:space="preserve">- instalacja </w:t>
      </w:r>
      <w:r>
        <w:rPr>
          <w:lang w:val="pl"/>
        </w:rPr>
        <w:t>grzewcza nie była uziemiona (jest to konieczne, aby zapobiec wpływowi pasożytniczych (błądzących) prądów na metal i w efekcie powstawaniu i przyspieszeniu korozji);</w:t>
      </w:r>
    </w:p>
    <w:p w:rsidR="00D559C2" w:rsidRPr="002F1AE0" w:rsidRDefault="00F943A2" w:rsidP="002423CB">
      <w:pPr>
        <w:spacing w:line="240" w:lineRule="auto"/>
        <w:ind w:left="142" w:firstLine="284"/>
        <w:jc w:val="both"/>
      </w:pPr>
      <w:r w:rsidRPr="002F1AE0">
        <w:rPr>
          <w:lang w:val="pl"/>
        </w:rPr>
        <w:t>- jeśli zbiornik był używany w systemie grzewczym, który nie jest wyposażony w odpowiedni z</w:t>
      </w:r>
      <w:r w:rsidRPr="002F1AE0">
        <w:rPr>
          <w:lang w:val="pl"/>
        </w:rPr>
        <w:t>estaw bezpieczeństwa do usuwania nadciśnienia;</w:t>
      </w:r>
    </w:p>
    <w:p w:rsidR="00D559C2" w:rsidRDefault="00F943A2" w:rsidP="002423CB">
      <w:pPr>
        <w:spacing w:line="240" w:lineRule="auto"/>
        <w:ind w:left="142" w:firstLine="284"/>
        <w:jc w:val="both"/>
      </w:pPr>
      <w:r w:rsidRPr="002F1AE0">
        <w:rPr>
          <w:lang w:val="pl"/>
        </w:rPr>
        <w:t>- w przypadku wykorzystywania zbiornika w środowiskach agresywnych;</w:t>
      </w:r>
    </w:p>
    <w:p w:rsidR="007F1C42" w:rsidRPr="004818F2" w:rsidRDefault="00F943A2" w:rsidP="002423CB">
      <w:pPr>
        <w:spacing w:line="240" w:lineRule="auto"/>
        <w:ind w:left="142" w:firstLine="284"/>
        <w:jc w:val="both"/>
      </w:pPr>
      <w:r w:rsidRPr="002F1AE0">
        <w:rPr>
          <w:lang w:val="pl"/>
        </w:rPr>
        <w:t>- w przypadku źle wykonanego montażu;</w:t>
      </w:r>
    </w:p>
    <w:p w:rsidR="007F1C42" w:rsidRPr="004818F2" w:rsidRDefault="00F943A2" w:rsidP="002423CB">
      <w:pPr>
        <w:spacing w:after="180" w:line="240" w:lineRule="auto"/>
        <w:ind w:left="142" w:firstLine="284"/>
        <w:jc w:val="both"/>
      </w:pPr>
      <w:r>
        <w:rPr>
          <w:lang w:val="pl"/>
        </w:rPr>
        <w:t>- w przypadku braku zbiornika wyrównawczego w zamkniętej instalacji grzewczej i CWU, o wymaganej objęto</w:t>
      </w:r>
      <w:r>
        <w:rPr>
          <w:lang w:val="pl"/>
        </w:rPr>
        <w:t>ści (10% objętości instalacji);</w:t>
      </w:r>
    </w:p>
    <w:p w:rsidR="007F1C42" w:rsidRPr="004818F2" w:rsidRDefault="00F943A2" w:rsidP="004818F2">
      <w:pPr>
        <w:spacing w:after="180"/>
        <w:ind w:left="360"/>
        <w:jc w:val="both"/>
        <w:rPr>
          <w:b/>
          <w:noProof/>
          <w:color w:val="FF0000"/>
          <w:lang w:eastAsia="ru-RU"/>
        </w:rPr>
      </w:pPr>
      <w:r w:rsidRPr="004818F2">
        <w:rPr>
          <w:b/>
          <w:color w:val="FF0000"/>
          <w:lang w:val="pl"/>
        </w:rPr>
        <w:t xml:space="preserve">- Jakość gorącej wody sanitarnej w wymienniku ciepła powinna spełniać następujące wymagania: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584"/>
        <w:gridCol w:w="3533"/>
        <w:gridCol w:w="3511"/>
      </w:tblGrid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Przewodność elektryczna mS/cm *)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&gt;450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pH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&lt;6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6-8+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&gt;8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Chlorki (mg/l)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&gt;50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siarki (mg/l)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&lt;50+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50-200 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&gt;200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azotu (mg/l)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&lt;100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Dwutlenek węgla (mg/l)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&lt;5 +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5-20 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&gt;20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Tlen (mg/l)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&lt;1 +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1-8  0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&gt;8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Amon (mg/l)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&lt;2  +</w:t>
            </w:r>
          </w:p>
        </w:tc>
        <w:tc>
          <w:tcPr>
            <w:tcW w:w="3738" w:type="dxa"/>
          </w:tcPr>
          <w:p w:rsidR="00C143F9" w:rsidRPr="00C143F9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2-20  0</w:t>
            </w: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AA2804" w:rsidTr="00C143F9">
        <w:tc>
          <w:tcPr>
            <w:tcW w:w="3738" w:type="dxa"/>
          </w:tcPr>
          <w:p w:rsidR="00C143F9" w:rsidRDefault="00C143F9" w:rsidP="00C143F9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&gt;20</w:t>
            </w: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Żelazo i mangan (mg/l)</w:t>
            </w: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&gt;0.2</w:t>
            </w: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AA2804" w:rsidTr="00C143F9"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siarki (mg/l)</w:t>
            </w: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&lt;5</w:t>
            </w: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AA2804" w:rsidTr="00C143F9"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lastRenderedPageBreak/>
              <w:t>Chlor (mg/l)</w:t>
            </w:r>
          </w:p>
        </w:tc>
        <w:tc>
          <w:tcPr>
            <w:tcW w:w="3738" w:type="dxa"/>
          </w:tcPr>
          <w:p w:rsidR="00C143F9" w:rsidRPr="00457520" w:rsidRDefault="00F943A2" w:rsidP="00C143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&lt;0.5</w:t>
            </w:r>
          </w:p>
        </w:tc>
        <w:tc>
          <w:tcPr>
            <w:tcW w:w="3738" w:type="dxa"/>
          </w:tcPr>
          <w:p w:rsidR="00C143F9" w:rsidRPr="00457520" w:rsidRDefault="00F943A2" w:rsidP="004575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</w:tbl>
    <w:p w:rsidR="002423CB" w:rsidRDefault="002423CB"/>
    <w:p w:rsidR="007F1C42" w:rsidRPr="007F1C42" w:rsidRDefault="00F943A2" w:rsidP="007F1C42">
      <w:pPr>
        <w:ind w:left="360"/>
        <w:jc w:val="both"/>
      </w:pPr>
      <w:r w:rsidRPr="007F1C42">
        <w:rPr>
          <w:lang w:val="pl"/>
        </w:rPr>
        <w:t xml:space="preserve">*) w </w:t>
      </w:r>
      <w:r w:rsidRPr="007F1C42">
        <w:rPr>
          <w:lang w:val="pl"/>
        </w:rPr>
        <w:t>20 stopniach Celsjusza</w:t>
      </w:r>
    </w:p>
    <w:p w:rsidR="007F1C42" w:rsidRPr="007F1C42" w:rsidRDefault="00F943A2" w:rsidP="007F1C42">
      <w:pPr>
        <w:ind w:left="360"/>
        <w:jc w:val="both"/>
      </w:pPr>
      <w:r>
        <w:rPr>
          <w:lang w:val="pl"/>
        </w:rPr>
        <w:t>+ = odporny materiał</w:t>
      </w:r>
    </w:p>
    <w:p w:rsidR="007F1C42" w:rsidRPr="007F1C42" w:rsidRDefault="00F943A2" w:rsidP="007F1C42">
      <w:pPr>
        <w:ind w:left="360"/>
        <w:jc w:val="both"/>
      </w:pPr>
      <w:r>
        <w:rPr>
          <w:lang w:val="pl"/>
        </w:rPr>
        <w:t>0 = zniszczenie może nastąpić, jeśli kilka substancji osiągnie wartość ‘’ 0 ‘’</w:t>
      </w:r>
    </w:p>
    <w:p w:rsidR="007F1C42" w:rsidRPr="00926C1E" w:rsidRDefault="00F943A2" w:rsidP="007F1C42">
      <w:pPr>
        <w:ind w:left="360"/>
        <w:jc w:val="both"/>
      </w:pPr>
      <w:r>
        <w:rPr>
          <w:lang w:val="pl"/>
        </w:rPr>
        <w:t>- = nie zaleca się stosować.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w przypadku uszkodzeń, spowodowanych niewłaściwym transportem;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w razie umyślnego uszkodzenia lub usz</w:t>
      </w:r>
      <w:r w:rsidRPr="005A5804">
        <w:rPr>
          <w:lang w:val="pl"/>
        </w:rPr>
        <w:t>kodzenia z powodu zaniedbania wynikające z niedbalstwa;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 xml:space="preserve">- w razie uszkodzeń mechanicznych lub uszkodzeń powstałych w wyniku działania warunków atmosferycznych (np. mróz) oraz działań wynikających z przekroczenia dopuszczalnego ciśnienia roboczego </w:t>
      </w:r>
      <w:r w:rsidRPr="005A5804">
        <w:rPr>
          <w:lang w:val="pl"/>
        </w:rPr>
        <w:t>określonego w paszporcie technicznym;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awarie spowodowane użyciem armatury niezgodnej z obowiązującymi normami;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w razie awarii, spowodowanych zamontowaniem lub działaniem wadliwych lub uszkodzonych zaworów bezpieczeństwa;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w razie uszkodzeń, wynikający</w:t>
      </w:r>
      <w:r w:rsidRPr="005A5804">
        <w:rPr>
          <w:lang w:val="pl"/>
        </w:rPr>
        <w:t>ch z niewłaściwego użytkowania;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uszkodzenia powstałe w wyniku nieprzestrzegania zasad zawartych w Instrukcji montażu i obsługi zbiorników oraz Karcie technicznej;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w przypadku uszkodzeń spowodowanych przez pożar, powódź, uderzenie pioruna, przepięcia lu</w:t>
      </w:r>
      <w:r w:rsidRPr="005A5804">
        <w:rPr>
          <w:lang w:val="pl"/>
        </w:rPr>
        <w:t>b innych przypadków;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w razie awarii, które nastąpiły w wyniku użycia nieoryginalnych części zamiennych, takich jak moduł grzałki, anoda magnezowa, anoda tytanowa, termostat, termometr, uszczelki itp.;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w przypadkach wystąpienia korozji elektrochemicznej</w:t>
      </w:r>
      <w:r w:rsidRPr="005A5804">
        <w:rPr>
          <w:lang w:val="pl"/>
        </w:rPr>
        <w:t>;</w:t>
      </w:r>
    </w:p>
    <w:p w:rsidR="005A5804" w:rsidRPr="005A5804" w:rsidRDefault="00F943A2" w:rsidP="005A5804">
      <w:pPr>
        <w:ind w:left="360"/>
        <w:jc w:val="both"/>
      </w:pPr>
      <w:r w:rsidRPr="005A5804">
        <w:rPr>
          <w:lang w:val="pl"/>
        </w:rPr>
        <w:t>- uszkodzenia powstałe z braku wymiany anody magnezowej w terminie określonym w karcie technicznej;</w:t>
      </w:r>
    </w:p>
    <w:p w:rsidR="005B078F" w:rsidRPr="005B078F" w:rsidRDefault="00F943A2" w:rsidP="005B078F">
      <w:pPr>
        <w:ind w:left="360"/>
        <w:jc w:val="both"/>
      </w:pPr>
      <w:r w:rsidRPr="005B078F">
        <w:rPr>
          <w:lang w:val="pl"/>
        </w:rPr>
        <w:t>- przypadki, w których występuje różnica temperatur pomiędzy wodą wypływającą z kranu a danymi na termometrze do 12 stopni Celsjusza (może mieć na to wpły</w:t>
      </w:r>
      <w:r w:rsidRPr="005B078F">
        <w:rPr>
          <w:lang w:val="pl"/>
        </w:rPr>
        <w:t>w w szczególności histereza termostatu, odległość między zbiornikiem a punktem poboru, niska temperatura w pomieszczeniu, w którym zainstalowany jest podgrzewacz wody);</w:t>
      </w:r>
    </w:p>
    <w:p w:rsidR="005B078F" w:rsidRPr="005B078F" w:rsidRDefault="00F943A2" w:rsidP="005B078F">
      <w:pPr>
        <w:ind w:left="360"/>
        <w:jc w:val="both"/>
      </w:pPr>
      <w:r w:rsidRPr="005B078F">
        <w:rPr>
          <w:lang w:val="pl"/>
        </w:rPr>
        <w:t>- przypadki związane z naturalnym tworzeniem się kamienia;</w:t>
      </w:r>
    </w:p>
    <w:p w:rsidR="005B078F" w:rsidRPr="005B078F" w:rsidRDefault="00F943A2" w:rsidP="005B078F">
      <w:pPr>
        <w:ind w:left="360"/>
        <w:jc w:val="both"/>
      </w:pPr>
      <w:r w:rsidRPr="005B078F">
        <w:rPr>
          <w:lang w:val="pl"/>
        </w:rPr>
        <w:t xml:space="preserve">- </w:t>
      </w:r>
      <w:bookmarkStart w:id="1" w:name="_Hlk29818752"/>
      <w:r w:rsidRPr="005B078F">
        <w:rPr>
          <w:lang w:val="pl"/>
        </w:rPr>
        <w:t xml:space="preserve">uszkodzenia wynikające z braku </w:t>
      </w:r>
      <w:bookmarkEnd w:id="1"/>
      <w:r w:rsidRPr="005B078F">
        <w:rPr>
          <w:lang w:val="pl"/>
        </w:rPr>
        <w:t>okresowego czyszczenia zbiornika z nagromadzonego żużla i osadu;</w:t>
      </w:r>
    </w:p>
    <w:p w:rsidR="005B078F" w:rsidRPr="005B078F" w:rsidRDefault="00F943A2" w:rsidP="005B078F">
      <w:pPr>
        <w:ind w:left="360"/>
        <w:jc w:val="both"/>
      </w:pPr>
      <w:r w:rsidRPr="005B078F">
        <w:rPr>
          <w:lang w:val="pl"/>
        </w:rPr>
        <w:t>4.19.  Sposób naprawy zbiornika określa producent.</w:t>
      </w:r>
    </w:p>
    <w:p w:rsidR="005B078F" w:rsidRPr="005B078F" w:rsidRDefault="00F943A2" w:rsidP="005B078F">
      <w:pPr>
        <w:ind w:left="360"/>
        <w:jc w:val="both"/>
      </w:pPr>
      <w:r w:rsidRPr="005B078F">
        <w:rPr>
          <w:lang w:val="pl"/>
        </w:rPr>
        <w:t>4.20. Bezpłatna naprawa nie obejmuje: regulacji zbiornika, wymiany anody magnezowej, wymiany uszczelki lub in</w:t>
      </w:r>
      <w:r w:rsidRPr="005B078F">
        <w:rPr>
          <w:lang w:val="pl"/>
        </w:rPr>
        <w:t>nych części, które podczas pracy ulegają naturalnemu zużyciu.</w:t>
      </w:r>
    </w:p>
    <w:p w:rsidR="005B078F" w:rsidRPr="005B078F" w:rsidRDefault="00F943A2" w:rsidP="005B078F">
      <w:pPr>
        <w:ind w:left="360"/>
        <w:jc w:val="both"/>
      </w:pPr>
      <w:r w:rsidRPr="005B078F">
        <w:rPr>
          <w:lang w:val="pl"/>
        </w:rPr>
        <w:t>4.21. Powyższe warunki gwarancji producenta są jedynymi. Żadne inne gwarancje nie mogą być zaakceptowane bez pisemnej wskazówki o tym producenta.</w:t>
      </w:r>
    </w:p>
    <w:p w:rsidR="005B078F" w:rsidRPr="005B078F" w:rsidRDefault="00F943A2" w:rsidP="005B078F">
      <w:pPr>
        <w:ind w:left="360"/>
        <w:jc w:val="both"/>
      </w:pPr>
      <w:r w:rsidRPr="005B078F">
        <w:rPr>
          <w:lang w:val="pl"/>
        </w:rPr>
        <w:t>4.22. W sprawach nieuregulowanych niniejszymi wa</w:t>
      </w:r>
      <w:r w:rsidRPr="005B078F">
        <w:rPr>
          <w:lang w:val="pl"/>
        </w:rPr>
        <w:t>runkami zastosowanie mają przepisy Kodeksu Cywilnego.</w:t>
      </w:r>
    </w:p>
    <w:p w:rsidR="007F1C42" w:rsidRDefault="007F1C42" w:rsidP="00D559C2">
      <w:pPr>
        <w:ind w:left="360"/>
        <w:jc w:val="both"/>
      </w:pPr>
    </w:p>
    <w:p w:rsidR="009944C7" w:rsidRPr="009944C7" w:rsidRDefault="00F943A2" w:rsidP="009944C7">
      <w:pPr>
        <w:ind w:left="360"/>
        <w:jc w:val="both"/>
      </w:pPr>
      <w:r w:rsidRPr="009944C7">
        <w:rPr>
          <w:lang w:val="pl"/>
        </w:rPr>
        <w:t>5. Warunki przechowywania:</w:t>
      </w:r>
    </w:p>
    <w:p w:rsidR="009944C7" w:rsidRDefault="00F943A2" w:rsidP="009944C7">
      <w:pPr>
        <w:ind w:left="360"/>
        <w:jc w:val="both"/>
      </w:pPr>
      <w:r w:rsidRPr="009944C7">
        <w:rPr>
          <w:lang w:val="pl"/>
        </w:rPr>
        <w:lastRenderedPageBreak/>
        <w:t>Przechowywać produkt do momentu uruchomienia należy w suchym, ogrzewanym pomieszczeniu o temperaturze nie niższej niż 20°C i wilgotności względnej nie większej niż 65%.</w:t>
      </w:r>
    </w:p>
    <w:p w:rsidR="0026090A" w:rsidRPr="00E43177" w:rsidRDefault="00F943A2" w:rsidP="0026090A">
      <w:pPr>
        <w:tabs>
          <w:tab w:val="left" w:pos="375"/>
        </w:tabs>
        <w:spacing w:after="0" w:line="226" w:lineRule="exact"/>
        <w:ind w:left="380"/>
        <w:jc w:val="both"/>
        <w:rPr>
          <w:rFonts w:eastAsia="Arial" w:cstheme="minorHAnsi"/>
          <w:b/>
          <w:bCs/>
          <w:sz w:val="28"/>
          <w:szCs w:val="28"/>
        </w:rPr>
      </w:pPr>
      <w:r w:rsidRPr="00E43177">
        <w:rPr>
          <w:rFonts w:eastAsia="Arial" w:cstheme="minorHAnsi"/>
          <w:b/>
          <w:bCs/>
          <w:sz w:val="28"/>
          <w:szCs w:val="28"/>
          <w:lang w:val="pl"/>
        </w:rPr>
        <w:t>Kompl</w:t>
      </w:r>
      <w:r w:rsidRPr="00E43177">
        <w:rPr>
          <w:rFonts w:eastAsia="Arial" w:cstheme="minorHAnsi"/>
          <w:b/>
          <w:bCs/>
          <w:sz w:val="28"/>
          <w:szCs w:val="28"/>
          <w:lang w:val="pl"/>
        </w:rPr>
        <w:t>etny zestaw standardowego produktu:</w:t>
      </w:r>
    </w:p>
    <w:p w:rsidR="0026090A" w:rsidRPr="00E43177" w:rsidRDefault="00F943A2" w:rsidP="0026090A">
      <w:pPr>
        <w:numPr>
          <w:ilvl w:val="0"/>
          <w:numId w:val="10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Zbiornik - 1 szt.</w:t>
      </w:r>
    </w:p>
    <w:p w:rsidR="0026090A" w:rsidRPr="00E43177" w:rsidRDefault="00F943A2" w:rsidP="0026090A">
      <w:pPr>
        <w:numPr>
          <w:ilvl w:val="0"/>
          <w:numId w:val="10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Niezdejmowana izolacja termiczna do 500l, izolacja zdejmowana 750l i więcej - 1szt</w:t>
      </w:r>
    </w:p>
    <w:p w:rsidR="0026090A" w:rsidRPr="00E43177" w:rsidRDefault="00F943A2" w:rsidP="0026090A">
      <w:pPr>
        <w:numPr>
          <w:ilvl w:val="0"/>
          <w:numId w:val="10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Górny pokrowiec ozdobny z ociepleniem (plastik do 1000 l, tkanina 1200 l i więcej) - 1szt.</w:t>
      </w:r>
    </w:p>
    <w:p w:rsidR="0026090A" w:rsidRPr="00E43177" w:rsidRDefault="00F943A2" w:rsidP="0026090A">
      <w:pPr>
        <w:numPr>
          <w:ilvl w:val="0"/>
          <w:numId w:val="10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Termometr - 1 szt.</w:t>
      </w:r>
    </w:p>
    <w:p w:rsidR="0026090A" w:rsidRPr="00E43177" w:rsidRDefault="00F943A2" w:rsidP="0026090A">
      <w:pPr>
        <w:numPr>
          <w:ilvl w:val="0"/>
          <w:numId w:val="10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 xml:space="preserve">Karta </w:t>
      </w:r>
      <w:r w:rsidRPr="00E43177">
        <w:rPr>
          <w:rFonts w:eastAsia="Arial" w:cstheme="minorHAnsi"/>
          <w:lang w:val="pl"/>
        </w:rPr>
        <w:t>produktu - 1 szt.</w:t>
      </w:r>
    </w:p>
    <w:p w:rsidR="0026090A" w:rsidRPr="00E43177" w:rsidRDefault="00F943A2" w:rsidP="0026090A">
      <w:pPr>
        <w:numPr>
          <w:ilvl w:val="0"/>
          <w:numId w:val="10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Anoda magnezowa - 1 szt.</w:t>
      </w:r>
    </w:p>
    <w:p w:rsidR="0026090A" w:rsidRPr="00E43177" w:rsidRDefault="00F943A2" w:rsidP="0026090A">
      <w:pPr>
        <w:numPr>
          <w:ilvl w:val="0"/>
          <w:numId w:val="10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Anoda tytanowa z zasilaczem (opcja na zamówienie) -1 szt., w przypadku zamontowania anody tytanowej, anoda magnezowa nie jest instalowana.</w:t>
      </w:r>
    </w:p>
    <w:p w:rsidR="00836E40" w:rsidRDefault="00836E40" w:rsidP="00D559C2">
      <w:pPr>
        <w:ind w:left="360"/>
        <w:jc w:val="both"/>
      </w:pPr>
    </w:p>
    <w:p w:rsidR="00926C1E" w:rsidRDefault="00926C1E" w:rsidP="00836E40">
      <w:pPr>
        <w:ind w:left="426"/>
        <w:jc w:val="both"/>
      </w:pPr>
    </w:p>
    <w:p w:rsidR="00D559C2" w:rsidRPr="002F1AE0" w:rsidRDefault="00F943A2" w:rsidP="00836E40">
      <w:pPr>
        <w:ind w:left="426"/>
        <w:jc w:val="both"/>
      </w:pPr>
      <w:r w:rsidRPr="002F1AE0">
        <w:rPr>
          <w:lang w:val="pl"/>
        </w:rPr>
        <w:t xml:space="preserve">Kontroli jakości względem wad przeprowadził specjalistę Działu Kontroli </w:t>
      </w:r>
      <w:r w:rsidRPr="002F1AE0">
        <w:rPr>
          <w:lang w:val="pl"/>
        </w:rPr>
        <w:t>Jakości - M. N. Gubski.</w:t>
      </w:r>
    </w:p>
    <w:p w:rsidR="00D559C2" w:rsidRPr="002F1AE0" w:rsidRDefault="00F943A2" w:rsidP="00836E40">
      <w:pPr>
        <w:ind w:left="426"/>
        <w:jc w:val="both"/>
      </w:pPr>
      <w:r w:rsidRPr="002F1AE0">
        <w:rPr>
          <w:lang w:val="pl"/>
        </w:rPr>
        <w:t>Data sprzedaży_______________________________________________</w:t>
      </w:r>
    </w:p>
    <w:p w:rsidR="00D559C2" w:rsidRDefault="00F943A2" w:rsidP="00836E40">
      <w:pPr>
        <w:ind w:left="426"/>
        <w:jc w:val="both"/>
      </w:pPr>
      <w:r w:rsidRPr="002F1AE0">
        <w:rPr>
          <w:lang w:val="pl"/>
        </w:rPr>
        <w:t>Podpis sprzedawcy____________________________________________</w:t>
      </w:r>
    </w:p>
    <w:p w:rsidR="005B078F" w:rsidRDefault="005B078F" w:rsidP="00836E40">
      <w:pPr>
        <w:ind w:left="426"/>
        <w:jc w:val="both"/>
      </w:pPr>
    </w:p>
    <w:p w:rsidR="005B078F" w:rsidRPr="002F1AE0" w:rsidRDefault="005B078F" w:rsidP="00836E40">
      <w:pPr>
        <w:ind w:left="426"/>
        <w:jc w:val="both"/>
      </w:pPr>
    </w:p>
    <w:p w:rsidR="00D559C2" w:rsidRPr="002F1AE0" w:rsidRDefault="00F943A2" w:rsidP="005B078F">
      <w:pPr>
        <w:ind w:left="426"/>
      </w:pPr>
      <w:bookmarkStart w:id="2" w:name="_Hlk29912254"/>
      <w:r w:rsidRPr="002F1AE0">
        <w:rPr>
          <w:lang w:val="pl"/>
        </w:rPr>
        <w:t>Nazwa i adres organizacji handlowej  _____________________________________________________________________</w:t>
      </w:r>
      <w:r w:rsidRPr="002F1AE0">
        <w:rPr>
          <w:lang w:val="pl"/>
        </w:rPr>
        <w:t>____________________________________________________________________________</w:t>
      </w:r>
    </w:p>
    <w:p w:rsidR="00D559C2" w:rsidRDefault="00F943A2" w:rsidP="00836E40">
      <w:pPr>
        <w:ind w:left="426"/>
        <w:jc w:val="both"/>
      </w:pPr>
      <w:bookmarkStart w:id="3" w:name="_Hlk29912278"/>
      <w:bookmarkEnd w:id="2"/>
      <w:r w:rsidRPr="002F1AE0">
        <w:rPr>
          <w:lang w:val="pl"/>
        </w:rPr>
        <w:t>M.P.</w:t>
      </w:r>
    </w:p>
    <w:bookmarkEnd w:id="3"/>
    <w:p w:rsidR="005B078F" w:rsidRPr="005B078F" w:rsidRDefault="00F943A2" w:rsidP="005B078F">
      <w:pPr>
        <w:ind w:left="426"/>
      </w:pPr>
      <w:r w:rsidRPr="005B078F">
        <w:rPr>
          <w:lang w:val="pl"/>
        </w:rPr>
        <w:t xml:space="preserve">Nazwa i adres organizacji montażowej  </w:t>
      </w:r>
      <w:r w:rsidRPr="005B078F">
        <w:rPr>
          <w:lang w:val="pl"/>
        </w:rPr>
        <w:t>_________________________________________________________________________________________________________________________________________________</w:t>
      </w:r>
    </w:p>
    <w:p w:rsidR="005B078F" w:rsidRDefault="00F943A2" w:rsidP="00836E40">
      <w:pPr>
        <w:ind w:left="426"/>
        <w:jc w:val="both"/>
      </w:pPr>
      <w:r w:rsidRPr="002F1AE0">
        <w:rPr>
          <w:lang w:val="pl"/>
        </w:rPr>
        <w:t>M.P.</w:t>
      </w:r>
    </w:p>
    <w:p w:rsidR="002423CB" w:rsidRDefault="002423CB" w:rsidP="00836E40">
      <w:pPr>
        <w:ind w:left="426"/>
        <w:jc w:val="both"/>
      </w:pPr>
    </w:p>
    <w:p w:rsidR="002423CB" w:rsidRDefault="002423CB" w:rsidP="00836E40">
      <w:pPr>
        <w:ind w:left="426"/>
        <w:jc w:val="both"/>
      </w:pPr>
    </w:p>
    <w:p w:rsidR="002423CB" w:rsidRDefault="002423CB" w:rsidP="00836E40">
      <w:pPr>
        <w:ind w:left="426"/>
        <w:jc w:val="both"/>
      </w:pPr>
    </w:p>
    <w:p w:rsidR="002423CB" w:rsidRDefault="002423CB" w:rsidP="00836E40">
      <w:pPr>
        <w:ind w:left="426"/>
        <w:jc w:val="both"/>
      </w:pPr>
    </w:p>
    <w:p w:rsidR="002423CB" w:rsidRDefault="002423CB" w:rsidP="00836E40">
      <w:pPr>
        <w:ind w:left="426"/>
        <w:jc w:val="both"/>
      </w:pPr>
    </w:p>
    <w:p w:rsidR="002423CB" w:rsidRDefault="002423CB" w:rsidP="00836E40">
      <w:pPr>
        <w:ind w:left="426"/>
        <w:jc w:val="both"/>
      </w:pPr>
      <w:bookmarkStart w:id="4" w:name="_GoBack"/>
      <w:bookmarkEnd w:id="4"/>
    </w:p>
    <w:p w:rsidR="002423CB" w:rsidRDefault="002423CB" w:rsidP="00836E40">
      <w:pPr>
        <w:ind w:left="426"/>
        <w:jc w:val="both"/>
      </w:pPr>
    </w:p>
    <w:p w:rsidR="002423CB" w:rsidRDefault="002423CB" w:rsidP="00836E40">
      <w:pPr>
        <w:ind w:left="426"/>
        <w:jc w:val="both"/>
      </w:pPr>
    </w:p>
    <w:p w:rsidR="002423CB" w:rsidRDefault="002423CB" w:rsidP="00836E40">
      <w:pPr>
        <w:ind w:left="426"/>
        <w:jc w:val="both"/>
      </w:pPr>
    </w:p>
    <w:p w:rsidR="002423CB" w:rsidRDefault="00F943A2">
      <w:r>
        <w:br w:type="page"/>
      </w:r>
    </w:p>
    <w:p w:rsidR="000A3E16" w:rsidRDefault="00F943A2" w:rsidP="000A3E16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DB4">
        <w:rPr>
          <w:rFonts w:ascii="Times New Roman" w:hAnsi="Times New Roman" w:cs="Times New Roman"/>
          <w:b/>
          <w:bCs/>
          <w:sz w:val="32"/>
          <w:szCs w:val="32"/>
          <w:lang w:val="pl"/>
        </w:rPr>
        <w:lastRenderedPageBreak/>
        <w:t>Tabela wymiany anody magnezowej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833"/>
        <w:gridCol w:w="1824"/>
        <w:gridCol w:w="1840"/>
        <w:gridCol w:w="1833"/>
        <w:gridCol w:w="1826"/>
      </w:tblGrid>
      <w:tr w:rsidR="00AA2804" w:rsidTr="003D625B">
        <w:trPr>
          <w:jc w:val="center"/>
        </w:trPr>
        <w:tc>
          <w:tcPr>
            <w:tcW w:w="1855" w:type="dxa"/>
          </w:tcPr>
          <w:p w:rsidR="000A3E16" w:rsidRPr="007F3DB4" w:rsidRDefault="00F943A2" w:rsidP="003D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 xml:space="preserve">Data wymiany </w:t>
            </w:r>
          </w:p>
        </w:tc>
        <w:tc>
          <w:tcPr>
            <w:tcW w:w="1855" w:type="dxa"/>
          </w:tcPr>
          <w:p w:rsidR="000A3E16" w:rsidRPr="007F3DB4" w:rsidRDefault="00F943A2" w:rsidP="003D625B">
            <w:pPr>
              <w:jc w:val="center"/>
              <w:rPr>
                <w:rFonts w:ascii="Times New Roman" w:hAnsi="Times New Roman" w:cs="Times New Roman"/>
              </w:rPr>
            </w:pPr>
            <w:r w:rsidRPr="007F3DB4">
              <w:rPr>
                <w:rFonts w:ascii="Times New Roman" w:hAnsi="Times New Roman" w:cs="Times New Roman"/>
                <w:lang w:val="pl"/>
              </w:rPr>
              <w:t>Numer i data paragonu, faktury</w:t>
            </w:r>
          </w:p>
        </w:tc>
        <w:tc>
          <w:tcPr>
            <w:tcW w:w="1855" w:type="dxa"/>
          </w:tcPr>
          <w:p w:rsidR="000A3E16" w:rsidRPr="007F3DB4" w:rsidRDefault="00F943A2" w:rsidP="003D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Model anody</w:t>
            </w:r>
          </w:p>
        </w:tc>
        <w:tc>
          <w:tcPr>
            <w:tcW w:w="1855" w:type="dxa"/>
          </w:tcPr>
          <w:p w:rsidR="000A3E16" w:rsidRPr="007F3DB4" w:rsidRDefault="00F943A2" w:rsidP="003D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Organizacja, dokonująca wymiany</w:t>
            </w:r>
          </w:p>
        </w:tc>
        <w:tc>
          <w:tcPr>
            <w:tcW w:w="1855" w:type="dxa"/>
          </w:tcPr>
          <w:p w:rsidR="000A3E16" w:rsidRPr="007F3DB4" w:rsidRDefault="00F943A2" w:rsidP="003D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Nazwisko i imię</w:t>
            </w:r>
          </w:p>
        </w:tc>
        <w:tc>
          <w:tcPr>
            <w:tcW w:w="1856" w:type="dxa"/>
          </w:tcPr>
          <w:p w:rsidR="000A3E16" w:rsidRPr="007F3DB4" w:rsidRDefault="00F943A2" w:rsidP="003D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Podpis</w:t>
            </w:r>
          </w:p>
        </w:tc>
      </w:tr>
      <w:tr w:rsidR="00AA2804" w:rsidTr="00926C1E">
        <w:trPr>
          <w:trHeight w:val="70"/>
          <w:jc w:val="center"/>
        </w:trPr>
        <w:tc>
          <w:tcPr>
            <w:tcW w:w="1855" w:type="dxa"/>
          </w:tcPr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2423CB" w:rsidRDefault="002423CB" w:rsidP="002423CB">
            <w:pPr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3E16" w:rsidRPr="007F3DB4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0A3E16" w:rsidRDefault="000A3E16" w:rsidP="003D62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3E16" w:rsidRDefault="000A3E16" w:rsidP="00836E40">
      <w:pPr>
        <w:ind w:left="426"/>
        <w:jc w:val="both"/>
      </w:pPr>
    </w:p>
    <w:p w:rsidR="00926C1E" w:rsidRDefault="00F943A2" w:rsidP="00926C1E">
      <w:pPr>
        <w:ind w:left="426"/>
        <w:jc w:val="both"/>
      </w:pPr>
      <w:r>
        <w:rPr>
          <w:lang w:val="pl"/>
        </w:rPr>
        <w:t>Producent:</w:t>
      </w:r>
    </w:p>
    <w:p w:rsidR="00926C1E" w:rsidRDefault="00F943A2" w:rsidP="00926C1E">
      <w:pPr>
        <w:ind w:left="426"/>
        <w:jc w:val="both"/>
      </w:pPr>
      <w:r>
        <w:rPr>
          <w:lang w:val="pl"/>
        </w:rPr>
        <w:t>"S-TANK WATER HEATERS" SP. Z O. O., RB, obwód miński</w:t>
      </w:r>
    </w:p>
    <w:p w:rsidR="00926C1E" w:rsidRDefault="00F943A2" w:rsidP="00926C1E">
      <w:pPr>
        <w:ind w:left="426"/>
        <w:jc w:val="both"/>
      </w:pPr>
      <w:r>
        <w:rPr>
          <w:lang w:val="pl"/>
        </w:rPr>
        <w:t>Rejon volozhinskiy, miasteczko Iwieniec, ul. 17-go Września, bud. 72 B</w:t>
      </w:r>
    </w:p>
    <w:p w:rsidR="00926C1E" w:rsidRDefault="00F943A2" w:rsidP="00926C1E">
      <w:pPr>
        <w:ind w:left="426"/>
        <w:jc w:val="both"/>
      </w:pPr>
      <w:r>
        <w:rPr>
          <w:lang w:val="pl"/>
        </w:rPr>
        <w:t xml:space="preserve">Tel.-faks: </w:t>
      </w:r>
      <w:r>
        <w:rPr>
          <w:lang w:val="pl"/>
        </w:rPr>
        <w:t>8(01772) 6 77 11; Tel.: +375296325040, +375296131414</w:t>
      </w:r>
    </w:p>
    <w:p w:rsidR="00926C1E" w:rsidRPr="005B078F" w:rsidRDefault="00F943A2" w:rsidP="00926C1E">
      <w:pPr>
        <w:ind w:left="426"/>
        <w:jc w:val="both"/>
      </w:pPr>
      <w:r w:rsidRPr="005B078F">
        <w:rPr>
          <w:lang w:val="pl"/>
        </w:rPr>
        <w:t xml:space="preserve">Dział wsparcia technicznego: </w:t>
      </w:r>
      <w:hyperlink r:id="rId15" w:history="1">
        <w:r w:rsidR="00085559" w:rsidRPr="00587D3A">
          <w:rPr>
            <w:rStyle w:val="a7"/>
            <w:lang w:val="pl"/>
          </w:rPr>
          <w:t>alfa-vim@mail.ru</w:t>
        </w:r>
      </w:hyperlink>
    </w:p>
    <w:sectPr w:rsidR="00926C1E" w:rsidRPr="005B078F" w:rsidSect="004818F2">
      <w:footerReference w:type="default" r:id="rId16"/>
      <w:pgSz w:w="11906" w:h="16838"/>
      <w:pgMar w:top="340" w:right="454" w:bottom="5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A2" w:rsidRDefault="00F943A2">
      <w:pPr>
        <w:spacing w:after="0" w:line="240" w:lineRule="auto"/>
      </w:pPr>
      <w:r>
        <w:separator/>
      </w:r>
    </w:p>
  </w:endnote>
  <w:endnote w:type="continuationSeparator" w:id="0">
    <w:p w:rsidR="00F943A2" w:rsidRDefault="00F9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021342"/>
      <w:docPartObj>
        <w:docPartGallery w:val="Page Numbers (Bottom of Page)"/>
        <w:docPartUnique/>
      </w:docPartObj>
    </w:sdtPr>
    <w:sdtEndPr/>
    <w:sdtContent>
      <w:p w:rsidR="004818F2" w:rsidRDefault="00F943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2A9">
          <w:rPr>
            <w:noProof/>
          </w:rPr>
          <w:t>10</w:t>
        </w:r>
        <w:r>
          <w:fldChar w:fldCharType="end"/>
        </w:r>
      </w:p>
    </w:sdtContent>
  </w:sdt>
  <w:p w:rsidR="004818F2" w:rsidRDefault="004818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A2" w:rsidRDefault="00F943A2">
      <w:pPr>
        <w:spacing w:after="0" w:line="240" w:lineRule="auto"/>
      </w:pPr>
      <w:r>
        <w:separator/>
      </w:r>
    </w:p>
  </w:footnote>
  <w:footnote w:type="continuationSeparator" w:id="0">
    <w:p w:rsidR="00F943A2" w:rsidRDefault="00F9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193"/>
    <w:multiLevelType w:val="multilevel"/>
    <w:tmpl w:val="02ACD0B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E57150B"/>
    <w:multiLevelType w:val="multilevel"/>
    <w:tmpl w:val="11BC94B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D86D39"/>
    <w:multiLevelType w:val="hybridMultilevel"/>
    <w:tmpl w:val="424CB434"/>
    <w:lvl w:ilvl="0" w:tplc="336643C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263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00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26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C3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AE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6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EC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6E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048A"/>
    <w:multiLevelType w:val="multilevel"/>
    <w:tmpl w:val="7D244AE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36C6B3C"/>
    <w:multiLevelType w:val="hybridMultilevel"/>
    <w:tmpl w:val="DA021C02"/>
    <w:lvl w:ilvl="0" w:tplc="3DEE263E">
      <w:start w:val="1"/>
      <w:numFmt w:val="decimal"/>
      <w:lvlText w:val="%1."/>
      <w:lvlJc w:val="left"/>
      <w:pPr>
        <w:ind w:left="740" w:hanging="360"/>
      </w:pPr>
    </w:lvl>
    <w:lvl w:ilvl="1" w:tplc="764CA516">
      <w:start w:val="1"/>
      <w:numFmt w:val="lowerLetter"/>
      <w:lvlText w:val="%2."/>
      <w:lvlJc w:val="left"/>
      <w:pPr>
        <w:ind w:left="1460" w:hanging="360"/>
      </w:pPr>
    </w:lvl>
    <w:lvl w:ilvl="2" w:tplc="EED27102">
      <w:start w:val="1"/>
      <w:numFmt w:val="lowerRoman"/>
      <w:lvlText w:val="%3."/>
      <w:lvlJc w:val="right"/>
      <w:pPr>
        <w:ind w:left="2180" w:hanging="180"/>
      </w:pPr>
    </w:lvl>
    <w:lvl w:ilvl="3" w:tplc="C3B8F512">
      <w:start w:val="1"/>
      <w:numFmt w:val="decimal"/>
      <w:lvlText w:val="%4."/>
      <w:lvlJc w:val="left"/>
      <w:pPr>
        <w:ind w:left="2900" w:hanging="360"/>
      </w:pPr>
    </w:lvl>
    <w:lvl w:ilvl="4" w:tplc="67384FB2">
      <w:start w:val="1"/>
      <w:numFmt w:val="lowerLetter"/>
      <w:lvlText w:val="%5."/>
      <w:lvlJc w:val="left"/>
      <w:pPr>
        <w:ind w:left="3620" w:hanging="360"/>
      </w:pPr>
    </w:lvl>
    <w:lvl w:ilvl="5" w:tplc="E5DCBB32">
      <w:start w:val="1"/>
      <w:numFmt w:val="lowerRoman"/>
      <w:lvlText w:val="%6."/>
      <w:lvlJc w:val="right"/>
      <w:pPr>
        <w:ind w:left="4340" w:hanging="180"/>
      </w:pPr>
    </w:lvl>
    <w:lvl w:ilvl="6" w:tplc="1722E036">
      <w:start w:val="1"/>
      <w:numFmt w:val="decimal"/>
      <w:lvlText w:val="%7."/>
      <w:lvlJc w:val="left"/>
      <w:pPr>
        <w:ind w:left="5060" w:hanging="360"/>
      </w:pPr>
    </w:lvl>
    <w:lvl w:ilvl="7" w:tplc="2BE08510">
      <w:start w:val="1"/>
      <w:numFmt w:val="lowerLetter"/>
      <w:lvlText w:val="%8."/>
      <w:lvlJc w:val="left"/>
      <w:pPr>
        <w:ind w:left="5780" w:hanging="360"/>
      </w:pPr>
    </w:lvl>
    <w:lvl w:ilvl="8" w:tplc="2A7E9006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4427B40"/>
    <w:multiLevelType w:val="hybridMultilevel"/>
    <w:tmpl w:val="A9E407C2"/>
    <w:lvl w:ilvl="0" w:tplc="6D1A1C90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CA2BB6C" w:tentative="1">
      <w:start w:val="1"/>
      <w:numFmt w:val="lowerLetter"/>
      <w:lvlText w:val="%2."/>
      <w:lvlJc w:val="left"/>
      <w:pPr>
        <w:ind w:left="1364" w:hanging="360"/>
      </w:pPr>
    </w:lvl>
    <w:lvl w:ilvl="2" w:tplc="B12A11FA" w:tentative="1">
      <w:start w:val="1"/>
      <w:numFmt w:val="lowerRoman"/>
      <w:lvlText w:val="%3."/>
      <w:lvlJc w:val="right"/>
      <w:pPr>
        <w:ind w:left="2084" w:hanging="180"/>
      </w:pPr>
    </w:lvl>
    <w:lvl w:ilvl="3" w:tplc="2BA60E62" w:tentative="1">
      <w:start w:val="1"/>
      <w:numFmt w:val="decimal"/>
      <w:lvlText w:val="%4."/>
      <w:lvlJc w:val="left"/>
      <w:pPr>
        <w:ind w:left="2804" w:hanging="360"/>
      </w:pPr>
    </w:lvl>
    <w:lvl w:ilvl="4" w:tplc="4670C888" w:tentative="1">
      <w:start w:val="1"/>
      <w:numFmt w:val="lowerLetter"/>
      <w:lvlText w:val="%5."/>
      <w:lvlJc w:val="left"/>
      <w:pPr>
        <w:ind w:left="3524" w:hanging="360"/>
      </w:pPr>
    </w:lvl>
    <w:lvl w:ilvl="5" w:tplc="AD0AE7C8" w:tentative="1">
      <w:start w:val="1"/>
      <w:numFmt w:val="lowerRoman"/>
      <w:lvlText w:val="%6."/>
      <w:lvlJc w:val="right"/>
      <w:pPr>
        <w:ind w:left="4244" w:hanging="180"/>
      </w:pPr>
    </w:lvl>
    <w:lvl w:ilvl="6" w:tplc="98BE32D0" w:tentative="1">
      <w:start w:val="1"/>
      <w:numFmt w:val="decimal"/>
      <w:lvlText w:val="%7."/>
      <w:lvlJc w:val="left"/>
      <w:pPr>
        <w:ind w:left="4964" w:hanging="360"/>
      </w:pPr>
    </w:lvl>
    <w:lvl w:ilvl="7" w:tplc="CB88C84E" w:tentative="1">
      <w:start w:val="1"/>
      <w:numFmt w:val="lowerLetter"/>
      <w:lvlText w:val="%8."/>
      <w:lvlJc w:val="left"/>
      <w:pPr>
        <w:ind w:left="5684" w:hanging="360"/>
      </w:pPr>
    </w:lvl>
    <w:lvl w:ilvl="8" w:tplc="FB12A3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8B5502"/>
    <w:multiLevelType w:val="multilevel"/>
    <w:tmpl w:val="06B0C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59622EE"/>
    <w:multiLevelType w:val="multilevel"/>
    <w:tmpl w:val="837CB59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6C902C1B"/>
    <w:multiLevelType w:val="hybridMultilevel"/>
    <w:tmpl w:val="6180FB88"/>
    <w:lvl w:ilvl="0" w:tplc="550AE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63F22" w:tentative="1">
      <w:start w:val="1"/>
      <w:numFmt w:val="lowerLetter"/>
      <w:lvlText w:val="%2."/>
      <w:lvlJc w:val="left"/>
      <w:pPr>
        <w:ind w:left="1440" w:hanging="360"/>
      </w:pPr>
    </w:lvl>
    <w:lvl w:ilvl="2" w:tplc="6BE00DDE" w:tentative="1">
      <w:start w:val="1"/>
      <w:numFmt w:val="lowerRoman"/>
      <w:lvlText w:val="%3."/>
      <w:lvlJc w:val="right"/>
      <w:pPr>
        <w:ind w:left="2160" w:hanging="180"/>
      </w:pPr>
    </w:lvl>
    <w:lvl w:ilvl="3" w:tplc="7A40689A" w:tentative="1">
      <w:start w:val="1"/>
      <w:numFmt w:val="decimal"/>
      <w:lvlText w:val="%4."/>
      <w:lvlJc w:val="left"/>
      <w:pPr>
        <w:ind w:left="2880" w:hanging="360"/>
      </w:pPr>
    </w:lvl>
    <w:lvl w:ilvl="4" w:tplc="5B9001D8" w:tentative="1">
      <w:start w:val="1"/>
      <w:numFmt w:val="lowerLetter"/>
      <w:lvlText w:val="%5."/>
      <w:lvlJc w:val="left"/>
      <w:pPr>
        <w:ind w:left="3600" w:hanging="360"/>
      </w:pPr>
    </w:lvl>
    <w:lvl w:ilvl="5" w:tplc="01DEFBD6" w:tentative="1">
      <w:start w:val="1"/>
      <w:numFmt w:val="lowerRoman"/>
      <w:lvlText w:val="%6."/>
      <w:lvlJc w:val="right"/>
      <w:pPr>
        <w:ind w:left="4320" w:hanging="180"/>
      </w:pPr>
    </w:lvl>
    <w:lvl w:ilvl="6" w:tplc="D6B8DD86" w:tentative="1">
      <w:start w:val="1"/>
      <w:numFmt w:val="decimal"/>
      <w:lvlText w:val="%7."/>
      <w:lvlJc w:val="left"/>
      <w:pPr>
        <w:ind w:left="5040" w:hanging="360"/>
      </w:pPr>
    </w:lvl>
    <w:lvl w:ilvl="7" w:tplc="E810692C" w:tentative="1">
      <w:start w:val="1"/>
      <w:numFmt w:val="lowerLetter"/>
      <w:lvlText w:val="%8."/>
      <w:lvlJc w:val="left"/>
      <w:pPr>
        <w:ind w:left="5760" w:hanging="360"/>
      </w:pPr>
    </w:lvl>
    <w:lvl w:ilvl="8" w:tplc="1F6CE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C2CE1"/>
    <w:multiLevelType w:val="hybridMultilevel"/>
    <w:tmpl w:val="6C08D144"/>
    <w:lvl w:ilvl="0" w:tplc="1B665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CB00A" w:tentative="1">
      <w:start w:val="1"/>
      <w:numFmt w:val="lowerLetter"/>
      <w:lvlText w:val="%2."/>
      <w:lvlJc w:val="left"/>
      <w:pPr>
        <w:ind w:left="1440" w:hanging="360"/>
      </w:pPr>
    </w:lvl>
    <w:lvl w:ilvl="2" w:tplc="257ED814" w:tentative="1">
      <w:start w:val="1"/>
      <w:numFmt w:val="lowerRoman"/>
      <w:lvlText w:val="%3."/>
      <w:lvlJc w:val="right"/>
      <w:pPr>
        <w:ind w:left="2160" w:hanging="180"/>
      </w:pPr>
    </w:lvl>
    <w:lvl w:ilvl="3" w:tplc="F0D850E8" w:tentative="1">
      <w:start w:val="1"/>
      <w:numFmt w:val="decimal"/>
      <w:lvlText w:val="%4."/>
      <w:lvlJc w:val="left"/>
      <w:pPr>
        <w:ind w:left="2880" w:hanging="360"/>
      </w:pPr>
    </w:lvl>
    <w:lvl w:ilvl="4" w:tplc="59C0B292" w:tentative="1">
      <w:start w:val="1"/>
      <w:numFmt w:val="lowerLetter"/>
      <w:lvlText w:val="%5."/>
      <w:lvlJc w:val="left"/>
      <w:pPr>
        <w:ind w:left="3600" w:hanging="360"/>
      </w:pPr>
    </w:lvl>
    <w:lvl w:ilvl="5" w:tplc="1004D654" w:tentative="1">
      <w:start w:val="1"/>
      <w:numFmt w:val="lowerRoman"/>
      <w:lvlText w:val="%6."/>
      <w:lvlJc w:val="right"/>
      <w:pPr>
        <w:ind w:left="4320" w:hanging="180"/>
      </w:pPr>
    </w:lvl>
    <w:lvl w:ilvl="6" w:tplc="FC4C970C" w:tentative="1">
      <w:start w:val="1"/>
      <w:numFmt w:val="decimal"/>
      <w:lvlText w:val="%7."/>
      <w:lvlJc w:val="left"/>
      <w:pPr>
        <w:ind w:left="5040" w:hanging="360"/>
      </w:pPr>
    </w:lvl>
    <w:lvl w:ilvl="7" w:tplc="0BEE0A0A" w:tentative="1">
      <w:start w:val="1"/>
      <w:numFmt w:val="lowerLetter"/>
      <w:lvlText w:val="%8."/>
      <w:lvlJc w:val="left"/>
      <w:pPr>
        <w:ind w:left="5760" w:hanging="360"/>
      </w:pPr>
    </w:lvl>
    <w:lvl w:ilvl="8" w:tplc="9FA037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DC"/>
    <w:rsid w:val="000020F9"/>
    <w:rsid w:val="000071F9"/>
    <w:rsid w:val="00017101"/>
    <w:rsid w:val="00027F54"/>
    <w:rsid w:val="00035311"/>
    <w:rsid w:val="00037023"/>
    <w:rsid w:val="0007710C"/>
    <w:rsid w:val="00085559"/>
    <w:rsid w:val="00094146"/>
    <w:rsid w:val="000A3E16"/>
    <w:rsid w:val="000B103C"/>
    <w:rsid w:val="000F54FF"/>
    <w:rsid w:val="001115A1"/>
    <w:rsid w:val="00140489"/>
    <w:rsid w:val="0015627B"/>
    <w:rsid w:val="00165A59"/>
    <w:rsid w:val="00165FFA"/>
    <w:rsid w:val="0017147D"/>
    <w:rsid w:val="00185992"/>
    <w:rsid w:val="00191D6E"/>
    <w:rsid w:val="0019347C"/>
    <w:rsid w:val="001C7572"/>
    <w:rsid w:val="001F0E20"/>
    <w:rsid w:val="001F4DD8"/>
    <w:rsid w:val="001F5399"/>
    <w:rsid w:val="001F608E"/>
    <w:rsid w:val="002423CB"/>
    <w:rsid w:val="00252E27"/>
    <w:rsid w:val="00257B82"/>
    <w:rsid w:val="0026090A"/>
    <w:rsid w:val="002636C2"/>
    <w:rsid w:val="002857D6"/>
    <w:rsid w:val="00287911"/>
    <w:rsid w:val="00287EC8"/>
    <w:rsid w:val="002A3F5E"/>
    <w:rsid w:val="002B07A6"/>
    <w:rsid w:val="002D00F0"/>
    <w:rsid w:val="002F1AE0"/>
    <w:rsid w:val="003001F7"/>
    <w:rsid w:val="00311381"/>
    <w:rsid w:val="003175B9"/>
    <w:rsid w:val="003306E1"/>
    <w:rsid w:val="00336DDC"/>
    <w:rsid w:val="00343419"/>
    <w:rsid w:val="003745BE"/>
    <w:rsid w:val="003758D9"/>
    <w:rsid w:val="0038457E"/>
    <w:rsid w:val="003A2CDC"/>
    <w:rsid w:val="003C2729"/>
    <w:rsid w:val="003C7018"/>
    <w:rsid w:val="003C7DFE"/>
    <w:rsid w:val="003D2546"/>
    <w:rsid w:val="003D625B"/>
    <w:rsid w:val="003E4430"/>
    <w:rsid w:val="003E443E"/>
    <w:rsid w:val="003F31B9"/>
    <w:rsid w:val="00410CF2"/>
    <w:rsid w:val="004357E8"/>
    <w:rsid w:val="004502E4"/>
    <w:rsid w:val="004552B9"/>
    <w:rsid w:val="00457520"/>
    <w:rsid w:val="00461266"/>
    <w:rsid w:val="00480A77"/>
    <w:rsid w:val="004818F2"/>
    <w:rsid w:val="004840C1"/>
    <w:rsid w:val="004A147C"/>
    <w:rsid w:val="004B7A52"/>
    <w:rsid w:val="004E7D49"/>
    <w:rsid w:val="004F2D5A"/>
    <w:rsid w:val="005302A6"/>
    <w:rsid w:val="005522A9"/>
    <w:rsid w:val="00554B2A"/>
    <w:rsid w:val="00560571"/>
    <w:rsid w:val="00564E6F"/>
    <w:rsid w:val="005742BF"/>
    <w:rsid w:val="00576B65"/>
    <w:rsid w:val="00587D3A"/>
    <w:rsid w:val="005A5804"/>
    <w:rsid w:val="005B078F"/>
    <w:rsid w:val="00611834"/>
    <w:rsid w:val="00621983"/>
    <w:rsid w:val="00623DDA"/>
    <w:rsid w:val="00672413"/>
    <w:rsid w:val="00687214"/>
    <w:rsid w:val="006D6C05"/>
    <w:rsid w:val="00702E5A"/>
    <w:rsid w:val="007207E2"/>
    <w:rsid w:val="00784DBC"/>
    <w:rsid w:val="00785101"/>
    <w:rsid w:val="007A4157"/>
    <w:rsid w:val="007A4F05"/>
    <w:rsid w:val="007E58F1"/>
    <w:rsid w:val="007E5D0C"/>
    <w:rsid w:val="007F13F5"/>
    <w:rsid w:val="007F1C42"/>
    <w:rsid w:val="007F3DB4"/>
    <w:rsid w:val="008228E2"/>
    <w:rsid w:val="008349A0"/>
    <w:rsid w:val="00836E40"/>
    <w:rsid w:val="0084705E"/>
    <w:rsid w:val="00862EC0"/>
    <w:rsid w:val="00863C3C"/>
    <w:rsid w:val="00865FF8"/>
    <w:rsid w:val="008936E3"/>
    <w:rsid w:val="0089508C"/>
    <w:rsid w:val="008A75E2"/>
    <w:rsid w:val="008D0A2F"/>
    <w:rsid w:val="008D6099"/>
    <w:rsid w:val="008F5957"/>
    <w:rsid w:val="00910606"/>
    <w:rsid w:val="00915D76"/>
    <w:rsid w:val="00926C1E"/>
    <w:rsid w:val="00934571"/>
    <w:rsid w:val="009538D0"/>
    <w:rsid w:val="00987680"/>
    <w:rsid w:val="009944C7"/>
    <w:rsid w:val="009A418C"/>
    <w:rsid w:val="009B3408"/>
    <w:rsid w:val="009B6406"/>
    <w:rsid w:val="009C0B35"/>
    <w:rsid w:val="00A065BC"/>
    <w:rsid w:val="00A242D3"/>
    <w:rsid w:val="00A405C3"/>
    <w:rsid w:val="00A508D0"/>
    <w:rsid w:val="00A5123A"/>
    <w:rsid w:val="00A557BF"/>
    <w:rsid w:val="00A70D60"/>
    <w:rsid w:val="00A711F5"/>
    <w:rsid w:val="00A72D04"/>
    <w:rsid w:val="00A96976"/>
    <w:rsid w:val="00AA06B1"/>
    <w:rsid w:val="00AA09B8"/>
    <w:rsid w:val="00AA2804"/>
    <w:rsid w:val="00AA743B"/>
    <w:rsid w:val="00B05DF9"/>
    <w:rsid w:val="00B10983"/>
    <w:rsid w:val="00B16A0C"/>
    <w:rsid w:val="00B43EF7"/>
    <w:rsid w:val="00B6756F"/>
    <w:rsid w:val="00B7217C"/>
    <w:rsid w:val="00B774B8"/>
    <w:rsid w:val="00B8039E"/>
    <w:rsid w:val="00B862FF"/>
    <w:rsid w:val="00B923A6"/>
    <w:rsid w:val="00BB23BC"/>
    <w:rsid w:val="00BD372B"/>
    <w:rsid w:val="00BF3F13"/>
    <w:rsid w:val="00C02A0D"/>
    <w:rsid w:val="00C056AC"/>
    <w:rsid w:val="00C10DE6"/>
    <w:rsid w:val="00C143F9"/>
    <w:rsid w:val="00C175EC"/>
    <w:rsid w:val="00C24E9D"/>
    <w:rsid w:val="00C33F74"/>
    <w:rsid w:val="00C5573E"/>
    <w:rsid w:val="00C62379"/>
    <w:rsid w:val="00CC647E"/>
    <w:rsid w:val="00CC7C36"/>
    <w:rsid w:val="00CE7C3E"/>
    <w:rsid w:val="00D155CE"/>
    <w:rsid w:val="00D2121E"/>
    <w:rsid w:val="00D254F1"/>
    <w:rsid w:val="00D260E2"/>
    <w:rsid w:val="00D559C2"/>
    <w:rsid w:val="00D93EBC"/>
    <w:rsid w:val="00DD6F28"/>
    <w:rsid w:val="00DF3A26"/>
    <w:rsid w:val="00E005AD"/>
    <w:rsid w:val="00E03DAE"/>
    <w:rsid w:val="00E226EB"/>
    <w:rsid w:val="00E31FE1"/>
    <w:rsid w:val="00E41353"/>
    <w:rsid w:val="00E43177"/>
    <w:rsid w:val="00E46499"/>
    <w:rsid w:val="00E55901"/>
    <w:rsid w:val="00E6074F"/>
    <w:rsid w:val="00EB076A"/>
    <w:rsid w:val="00EB79B7"/>
    <w:rsid w:val="00EE3167"/>
    <w:rsid w:val="00EF77E5"/>
    <w:rsid w:val="00F21001"/>
    <w:rsid w:val="00F33D61"/>
    <w:rsid w:val="00F3562D"/>
    <w:rsid w:val="00F51AE0"/>
    <w:rsid w:val="00F5265A"/>
    <w:rsid w:val="00F52F04"/>
    <w:rsid w:val="00F55702"/>
    <w:rsid w:val="00F64C56"/>
    <w:rsid w:val="00F832A6"/>
    <w:rsid w:val="00F943A2"/>
    <w:rsid w:val="00FB6207"/>
    <w:rsid w:val="00FB62C7"/>
    <w:rsid w:val="00FC6B3B"/>
    <w:rsid w:val="00FD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32A"/>
  <w15:docId w15:val="{81A2BEB5-C588-408D-9764-2756F15A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58F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3001F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01F7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9C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8F2"/>
  </w:style>
  <w:style w:type="paragraph" w:styleId="aa">
    <w:name w:val="footer"/>
    <w:basedOn w:val="a"/>
    <w:link w:val="ab"/>
    <w:uiPriority w:val="99"/>
    <w:unhideWhenUsed/>
    <w:rsid w:val="0048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-tank.by/wp-content/uploads/Instrukcziya-po-montazhu-i-ekspluataczii-bakov-S-TANK-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-tank.gara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-tan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fa-vim@mail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-t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6897-9C40-4EFE-93C7-C083A85A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Евгения Барсукова</cp:lastModifiedBy>
  <cp:revision>10</cp:revision>
  <cp:lastPrinted>2020-06-23T06:10:00Z</cp:lastPrinted>
  <dcterms:created xsi:type="dcterms:W3CDTF">2020-09-11T07:10:00Z</dcterms:created>
  <dcterms:modified xsi:type="dcterms:W3CDTF">2021-08-20T12:39:00Z</dcterms:modified>
</cp:coreProperties>
</file>